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pPr>
      <w:bookmarkStart w:id="0" w:name="_Toc25064578"/>
      <w:r>
        <w:rPr>
          <w:rFonts w:hint="eastAsia"/>
        </w:rPr>
        <w:t>幼儿园教师专业伦理</w:t>
      </w:r>
      <w:bookmarkEnd w:id="0"/>
    </w:p>
    <w:p>
      <w:pPr>
        <w:shd w:val="clear" w:color="auto" w:fill="F5F5F5"/>
        <w:jc w:val="center"/>
        <w:textAlignment w:val="top"/>
        <w:rPr>
          <w:rFonts w:ascii="黑体" w:hAnsi="宋体" w:eastAsia="黑体"/>
          <w:sz w:val="24"/>
        </w:rPr>
      </w:pPr>
      <w:r>
        <w:rPr>
          <w:rFonts w:hint="eastAsia"/>
          <w:b/>
          <w:sz w:val="28"/>
          <w:szCs w:val="28"/>
        </w:rPr>
        <w:t>【</w:t>
      </w:r>
      <w:r>
        <w:rPr>
          <w:rFonts w:hint="eastAsia"/>
          <w:b/>
          <w:sz w:val="28"/>
          <w:szCs w:val="30"/>
        </w:rPr>
        <w:t>Professional ethics for kindergarten teachers</w:t>
      </w:r>
      <w:r>
        <w:rPr>
          <w:rFonts w:hint="eastAsia"/>
          <w:b/>
          <w:sz w:val="28"/>
          <w:szCs w:val="28"/>
        </w:rPr>
        <w:t>】</w:t>
      </w:r>
    </w:p>
    <w:p>
      <w:pPr>
        <w:pStyle w:val="7"/>
        <w:jc w:val="left"/>
        <w:rPr>
          <w:rFonts w:ascii="黑体" w:hAnsi="宋体" w:eastAsia="黑体"/>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360" w:lineRule="auto"/>
        <w:ind w:firstLine="394" w:firstLineChars="196"/>
        <w:rPr>
          <w:rFonts w:ascii="Times New Roman" w:hAnsi="Times New Roman"/>
          <w:b/>
          <w:bCs/>
          <w:sz w:val="20"/>
          <w:szCs w:val="20"/>
        </w:rPr>
      </w:pPr>
      <w:r>
        <w:rPr>
          <w:rFonts w:hint="eastAsia" w:ascii="Times New Roman" w:hAnsi="Times New Roman"/>
          <w:b/>
          <w:bCs/>
          <w:sz w:val="20"/>
          <w:szCs w:val="20"/>
        </w:rPr>
        <w:t>课程代码：</w:t>
      </w:r>
      <w:r>
        <w:rPr>
          <w:rFonts w:ascii="Times New Roman" w:hAnsi="Times New Roman"/>
          <w:b/>
          <w:bCs/>
          <w:sz w:val="20"/>
          <w:szCs w:val="20"/>
        </w:rPr>
        <w:t>【</w:t>
      </w:r>
      <w:r>
        <w:rPr>
          <w:rFonts w:hint="eastAsia" w:eastAsia="宋体"/>
          <w:color w:val="000000"/>
          <w:sz w:val="20"/>
          <w:szCs w:val="20"/>
          <w:lang w:val="en-US" w:eastAsia="zh-CN"/>
        </w:rPr>
        <w:t>1</w:t>
      </w:r>
      <w:r>
        <w:rPr>
          <w:rFonts w:hint="eastAsia"/>
          <w:color w:val="000000"/>
          <w:sz w:val="20"/>
          <w:szCs w:val="20"/>
        </w:rPr>
        <w:t>1</w:t>
      </w:r>
      <w:r>
        <w:rPr>
          <w:color w:val="000000"/>
          <w:sz w:val="20"/>
          <w:szCs w:val="20"/>
        </w:rPr>
        <w:t>3</w:t>
      </w:r>
      <w:r>
        <w:rPr>
          <w:rFonts w:hint="eastAsia"/>
          <w:color w:val="000000"/>
          <w:sz w:val="20"/>
          <w:szCs w:val="20"/>
        </w:rPr>
        <w:t>00</w:t>
      </w:r>
      <w:r>
        <w:rPr>
          <w:rFonts w:hint="eastAsia" w:eastAsia="宋体"/>
          <w:color w:val="000000"/>
          <w:sz w:val="20"/>
          <w:szCs w:val="20"/>
          <w:lang w:val="en-US" w:eastAsia="zh-CN"/>
        </w:rPr>
        <w:t>19</w:t>
      </w:r>
      <w:r>
        <w:rPr>
          <w:rFonts w:ascii="Times New Roman" w:hAnsi="Times New Roman"/>
          <w:b/>
          <w:bCs/>
          <w:sz w:val="20"/>
          <w:szCs w:val="20"/>
        </w:rPr>
        <w:t>】</w:t>
      </w:r>
    </w:p>
    <w:p>
      <w:pPr>
        <w:snapToGrid w:val="0"/>
        <w:spacing w:line="360" w:lineRule="auto"/>
        <w:ind w:firstLine="394" w:firstLineChars="196"/>
        <w:rPr>
          <w:rFonts w:ascii="Times New Roman" w:hAnsi="Times New Roman"/>
          <w:b/>
          <w:bCs/>
          <w:sz w:val="20"/>
          <w:szCs w:val="20"/>
        </w:rPr>
      </w:pPr>
      <w:r>
        <w:rPr>
          <w:rFonts w:hint="eastAsia" w:ascii="Times New Roman" w:hAnsi="Times New Roman"/>
          <w:b/>
          <w:bCs/>
          <w:sz w:val="20"/>
          <w:szCs w:val="20"/>
        </w:rPr>
        <w:t>课程学分：</w:t>
      </w:r>
      <w:r>
        <w:rPr>
          <w:rFonts w:ascii="Times New Roman" w:hAnsi="Times New Roman"/>
          <w:bCs/>
          <w:sz w:val="20"/>
          <w:szCs w:val="20"/>
        </w:rPr>
        <w:t>【</w:t>
      </w:r>
      <w:r>
        <w:rPr>
          <w:rFonts w:hint="eastAsia" w:ascii="Times New Roman" w:hAnsi="Times New Roman"/>
          <w:bCs/>
          <w:sz w:val="20"/>
          <w:szCs w:val="20"/>
          <w:lang w:val="en-US" w:eastAsia="zh-CN"/>
        </w:rPr>
        <w:t>2</w:t>
      </w:r>
      <w:r>
        <w:rPr>
          <w:rFonts w:ascii="Times New Roman" w:hAnsi="Times New Roman"/>
          <w:bCs/>
          <w:sz w:val="20"/>
          <w:szCs w:val="20"/>
        </w:rPr>
        <w:t>】</w:t>
      </w:r>
    </w:p>
    <w:p>
      <w:pPr>
        <w:snapToGrid w:val="0"/>
        <w:spacing w:line="360" w:lineRule="auto"/>
        <w:ind w:firstLine="394" w:firstLineChars="196"/>
        <w:rPr>
          <w:rFonts w:ascii="Times New Roman" w:hAnsi="Times New Roman"/>
          <w:b/>
          <w:bCs/>
          <w:sz w:val="20"/>
          <w:szCs w:val="20"/>
        </w:rPr>
      </w:pPr>
      <w:r>
        <w:rPr>
          <w:rFonts w:hint="eastAsia" w:ascii="Times New Roman" w:hAnsi="Times New Roman"/>
          <w:b/>
          <w:bCs/>
          <w:sz w:val="20"/>
          <w:szCs w:val="20"/>
        </w:rPr>
        <w:t>面向专业：</w:t>
      </w:r>
      <w:r>
        <w:rPr>
          <w:rFonts w:ascii="Times New Roman" w:hAnsi="Times New Roman"/>
          <w:bCs/>
          <w:sz w:val="20"/>
          <w:szCs w:val="20"/>
        </w:rPr>
        <w:t>【</w:t>
      </w:r>
      <w:r>
        <w:rPr>
          <w:rFonts w:hint="eastAsia" w:ascii="Times New Roman" w:hAnsi="Times New Roman"/>
          <w:bCs/>
          <w:sz w:val="20"/>
          <w:szCs w:val="20"/>
        </w:rPr>
        <w:t>学前教育</w:t>
      </w:r>
      <w:r>
        <w:rPr>
          <w:rFonts w:ascii="Times New Roman" w:hAnsi="Times New Roman"/>
          <w:bCs/>
          <w:sz w:val="20"/>
          <w:szCs w:val="20"/>
        </w:rPr>
        <w:t>】</w:t>
      </w:r>
    </w:p>
    <w:p>
      <w:pPr>
        <w:tabs>
          <w:tab w:val="left" w:pos="3282"/>
        </w:tabs>
        <w:snapToGrid w:val="0"/>
        <w:spacing w:line="360" w:lineRule="auto"/>
        <w:ind w:firstLine="394" w:firstLineChars="196"/>
        <w:rPr>
          <w:rFonts w:ascii="Times New Roman" w:hAnsi="Times New Roman"/>
          <w:bCs/>
          <w:sz w:val="20"/>
          <w:szCs w:val="20"/>
        </w:rPr>
      </w:pPr>
      <w:r>
        <w:rPr>
          <w:rFonts w:hint="eastAsia" w:ascii="Times New Roman" w:hAnsi="Times New Roman"/>
          <w:b/>
          <w:bCs/>
          <w:sz w:val="20"/>
          <w:szCs w:val="20"/>
        </w:rPr>
        <w:t>课程性质：</w:t>
      </w:r>
      <w:r>
        <w:rPr>
          <w:rFonts w:hint="eastAsia"/>
          <w:color w:val="000000"/>
          <w:sz w:val="20"/>
          <w:szCs w:val="20"/>
        </w:rPr>
        <w:t>【系级必修课】</w:t>
      </w:r>
      <w:r>
        <w:rPr>
          <w:rFonts w:hint="eastAsia" w:ascii="宋体" w:hAnsi="宋体"/>
          <w:color w:val="000000"/>
          <w:sz w:val="20"/>
          <w:szCs w:val="20"/>
        </w:rPr>
        <w:t>◎</w:t>
      </w:r>
    </w:p>
    <w:p>
      <w:pPr>
        <w:snapToGrid w:val="0"/>
        <w:spacing w:line="360" w:lineRule="auto"/>
        <w:ind w:firstLine="394" w:firstLineChars="196"/>
        <w:rPr>
          <w:rFonts w:ascii="Times New Roman" w:hAnsi="Times New Roman"/>
          <w:b/>
          <w:bCs/>
          <w:sz w:val="20"/>
          <w:szCs w:val="20"/>
        </w:rPr>
      </w:pPr>
      <w:r>
        <w:rPr>
          <w:rFonts w:hint="eastAsia" w:ascii="Times New Roman" w:hAnsi="Times New Roman"/>
          <w:b/>
          <w:bCs/>
          <w:sz w:val="20"/>
          <w:szCs w:val="20"/>
        </w:rPr>
        <w:t>开课院系：</w:t>
      </w:r>
      <w:r>
        <w:rPr>
          <w:rFonts w:ascii="Times New Roman" w:hAnsi="Times New Roman"/>
          <w:bCs/>
          <w:sz w:val="20"/>
          <w:szCs w:val="20"/>
        </w:rPr>
        <w:t>【</w:t>
      </w:r>
      <w:r>
        <w:rPr>
          <w:rFonts w:hint="eastAsia" w:ascii="Times New Roman" w:hAnsi="Times New Roman"/>
          <w:bCs/>
          <w:sz w:val="20"/>
          <w:szCs w:val="20"/>
        </w:rPr>
        <w:t>学前教育系</w:t>
      </w:r>
      <w:r>
        <w:rPr>
          <w:rFonts w:ascii="Times New Roman" w:hAnsi="Times New Roman"/>
          <w:bCs/>
          <w:sz w:val="20"/>
          <w:szCs w:val="20"/>
        </w:rPr>
        <w:t>】</w:t>
      </w:r>
    </w:p>
    <w:p>
      <w:pPr>
        <w:snapToGrid w:val="0"/>
        <w:spacing w:line="360" w:lineRule="auto"/>
        <w:ind w:firstLine="394" w:firstLineChars="196"/>
        <w:rPr>
          <w:rFonts w:ascii="宋体" w:hAnsi="宋体"/>
          <w:kern w:val="0"/>
          <w:sz w:val="20"/>
          <w:szCs w:val="20"/>
        </w:rPr>
      </w:pPr>
      <w:r>
        <w:rPr>
          <w:rFonts w:hint="eastAsia" w:ascii="Times New Roman" w:hAnsi="Times New Roman"/>
          <w:b/>
          <w:bCs/>
          <w:sz w:val="20"/>
          <w:szCs w:val="20"/>
        </w:rPr>
        <w:t>使用教材：【</w:t>
      </w:r>
      <w:r>
        <w:rPr>
          <w:rFonts w:hint="eastAsia"/>
          <w:color w:val="000000"/>
          <w:sz w:val="20"/>
          <w:szCs w:val="20"/>
        </w:rPr>
        <w:t>幼儿园教师专业伦理，步社民，复旦大学出版社</w:t>
      </w:r>
      <w:r>
        <w:rPr>
          <w:rFonts w:hint="eastAsia" w:ascii="宋体" w:hAnsi="宋体"/>
          <w:kern w:val="0"/>
          <w:sz w:val="20"/>
          <w:szCs w:val="20"/>
        </w:rPr>
        <w:t>】</w:t>
      </w:r>
    </w:p>
    <w:p>
      <w:pPr>
        <w:snapToGrid w:val="0"/>
        <w:spacing w:line="360" w:lineRule="auto"/>
        <w:ind w:firstLine="394"/>
        <w:rPr>
          <w:rFonts w:ascii="宋体" w:hAnsi="宋体"/>
          <w:kern w:val="0"/>
          <w:sz w:val="20"/>
          <w:szCs w:val="20"/>
        </w:rPr>
      </w:pPr>
      <w:r>
        <w:rPr>
          <w:rFonts w:hint="eastAsia" w:ascii="Times New Roman" w:hAnsi="Times New Roman"/>
          <w:b/>
          <w:bCs/>
          <w:sz w:val="20"/>
          <w:szCs w:val="20"/>
        </w:rPr>
        <w:t>参考书目：</w:t>
      </w:r>
      <w:r>
        <w:rPr>
          <w:rFonts w:hint="eastAsia" w:ascii="宋体" w:hAnsi="宋体"/>
          <w:kern w:val="0"/>
          <w:sz w:val="20"/>
          <w:szCs w:val="20"/>
        </w:rPr>
        <w:t>【</w:t>
      </w:r>
      <w:r>
        <w:rPr>
          <w:rFonts w:hint="eastAsia"/>
          <w:color w:val="000000"/>
          <w:sz w:val="20"/>
          <w:szCs w:val="20"/>
        </w:rPr>
        <w:t>幼儿保育专业伦理，蔡淑桂，台湾永大书局出版社</w:t>
      </w:r>
      <w:r>
        <w:rPr>
          <w:rFonts w:hint="eastAsia" w:ascii="宋体" w:hAnsi="宋体"/>
          <w:kern w:val="0"/>
          <w:sz w:val="20"/>
          <w:szCs w:val="20"/>
        </w:rPr>
        <w:t>】</w:t>
      </w:r>
    </w:p>
    <w:p>
      <w:pPr>
        <w:snapToGrid w:val="0"/>
        <w:spacing w:line="360" w:lineRule="auto"/>
        <w:ind w:left="1260" w:firstLine="157" w:firstLineChars="78"/>
        <w:rPr>
          <w:rFonts w:ascii="宋体" w:hAnsi="宋体"/>
          <w:kern w:val="0"/>
          <w:sz w:val="20"/>
          <w:szCs w:val="20"/>
        </w:rPr>
      </w:pPr>
      <w:r>
        <w:rPr>
          <w:rFonts w:hint="eastAsia" w:ascii="Times New Roman" w:hAnsi="Times New Roman"/>
          <w:b/>
          <w:bCs/>
          <w:sz w:val="20"/>
          <w:szCs w:val="20"/>
        </w:rPr>
        <w:t>【</w:t>
      </w:r>
      <w:r>
        <w:rPr>
          <w:rFonts w:hint="eastAsia"/>
          <w:color w:val="000000"/>
          <w:sz w:val="20"/>
          <w:szCs w:val="20"/>
        </w:rPr>
        <w:t>与幼儿教师对话——迈向专业成长之路，Lilian G.Katz，南京师范大学出版社</w:t>
      </w:r>
      <w:r>
        <w:rPr>
          <w:rFonts w:hint="eastAsia" w:ascii="宋体" w:hAnsi="宋体"/>
          <w:kern w:val="0"/>
          <w:sz w:val="20"/>
          <w:szCs w:val="20"/>
        </w:rPr>
        <w:t>】</w:t>
      </w:r>
    </w:p>
    <w:p>
      <w:pPr>
        <w:snapToGrid w:val="0"/>
        <w:spacing w:line="360" w:lineRule="auto"/>
        <w:ind w:left="1260" w:firstLine="156" w:firstLineChars="78"/>
        <w:rPr>
          <w:color w:val="000000"/>
          <w:sz w:val="20"/>
          <w:szCs w:val="20"/>
        </w:rPr>
      </w:pPr>
      <w:r>
        <w:rPr>
          <w:rFonts w:hint="eastAsia"/>
          <w:color w:val="000000"/>
          <w:sz w:val="20"/>
          <w:szCs w:val="20"/>
        </w:rPr>
        <w:t>【</w:t>
      </w:r>
      <w:r>
        <w:rPr>
          <w:rFonts w:hint="eastAsia"/>
          <w:bCs/>
          <w:color w:val="000000"/>
          <w:sz w:val="20"/>
          <w:szCs w:val="20"/>
        </w:rPr>
        <w:t>伦理学是什么</w:t>
      </w:r>
      <w:r>
        <w:rPr>
          <w:rFonts w:hint="eastAsia"/>
          <w:color w:val="000000"/>
          <w:sz w:val="20"/>
          <w:szCs w:val="20"/>
        </w:rPr>
        <w:t>，</w:t>
      </w:r>
      <w:r>
        <w:rPr>
          <w:rFonts w:hint="eastAsia"/>
          <w:bCs/>
          <w:color w:val="000000"/>
          <w:sz w:val="20"/>
          <w:szCs w:val="20"/>
        </w:rPr>
        <w:t>何怀宏</w:t>
      </w:r>
      <w:r>
        <w:rPr>
          <w:rFonts w:hint="eastAsia"/>
          <w:color w:val="000000"/>
          <w:sz w:val="20"/>
          <w:szCs w:val="20"/>
        </w:rPr>
        <w:t>，</w:t>
      </w:r>
      <w:r>
        <w:rPr>
          <w:rFonts w:hint="eastAsia"/>
          <w:bCs/>
          <w:color w:val="000000"/>
          <w:sz w:val="20"/>
          <w:szCs w:val="20"/>
        </w:rPr>
        <w:t>北京大学出版社</w:t>
      </w:r>
      <w:r>
        <w:rPr>
          <w:rFonts w:hint="eastAsia"/>
          <w:color w:val="000000"/>
          <w:sz w:val="20"/>
          <w:szCs w:val="20"/>
        </w:rPr>
        <w:t>】</w:t>
      </w:r>
    </w:p>
    <w:p>
      <w:pPr>
        <w:snapToGrid w:val="0"/>
        <w:spacing w:line="360" w:lineRule="auto"/>
        <w:ind w:left="1260" w:firstLine="156" w:firstLineChars="78"/>
        <w:rPr>
          <w:rFonts w:ascii="宋体" w:hAnsi="宋体"/>
          <w:kern w:val="0"/>
          <w:sz w:val="20"/>
          <w:szCs w:val="20"/>
        </w:rPr>
      </w:pPr>
      <w:r>
        <w:rPr>
          <w:rFonts w:hint="eastAsia"/>
          <w:color w:val="000000"/>
          <w:sz w:val="20"/>
          <w:szCs w:val="20"/>
        </w:rPr>
        <w:t>【让幼儿教育充满伦理关怀，罗红著，北京师范大学出版社】</w:t>
      </w:r>
    </w:p>
    <w:p>
      <w:pPr>
        <w:snapToGrid w:val="0"/>
        <w:spacing w:line="360" w:lineRule="auto"/>
        <w:ind w:firstLine="394"/>
        <w:jc w:val="left"/>
        <w:rPr>
          <w:b/>
          <w:bCs/>
          <w:color w:val="000000"/>
          <w:sz w:val="20"/>
          <w:szCs w:val="20"/>
        </w:rPr>
      </w:pPr>
      <w:r>
        <w:rPr>
          <w:rFonts w:hint="eastAsia"/>
          <w:b/>
          <w:bCs/>
          <w:color w:val="000000"/>
          <w:sz w:val="20"/>
          <w:szCs w:val="20"/>
        </w:rPr>
        <w:t xml:space="preserve">课程网站网址： </w:t>
      </w:r>
      <w:r>
        <w:fldChar w:fldCharType="begin"/>
      </w:r>
      <w:r>
        <w:instrText xml:space="preserve"> HYPERLINK "https://www.icve.com.cn/portal_new/search/search.html?keyvalue=%E5%B9%BC%E5%84%BF%E5%9B%AD%E6%95%99%E5%B8%88%E4%B8%93%E4%B8%9A%E4%BC%A6%E7%90%86" </w:instrText>
      </w:r>
      <w:r>
        <w:fldChar w:fldCharType="separate"/>
      </w:r>
      <w:r>
        <w:rPr>
          <w:rStyle w:val="13"/>
          <w:b/>
          <w:bCs/>
          <w:sz w:val="20"/>
          <w:szCs w:val="20"/>
        </w:rPr>
        <w:t>https://www.icve.com.cn/portal_new/search/search.html?keyvalue=%E5%B9%BC%E5%84%BF%E5%9B%AD%E6%95%99%E5%B8%88%E4%B8%93%E4%B8%9A%E4%BC%A6%E7%90%86</w:t>
      </w:r>
      <w:r>
        <w:rPr>
          <w:rStyle w:val="13"/>
          <w:b/>
          <w:bCs/>
          <w:sz w:val="20"/>
          <w:szCs w:val="20"/>
        </w:rPr>
        <w:fldChar w:fldCharType="end"/>
      </w:r>
    </w:p>
    <w:p>
      <w:pPr>
        <w:snapToGrid w:val="0"/>
        <w:spacing w:line="360" w:lineRule="auto"/>
        <w:ind w:firstLine="394" w:firstLineChars="196"/>
        <w:rPr>
          <w:rFonts w:hint="eastAsia" w:ascii="黑体" w:hAnsi="宋体" w:eastAsia="黑体"/>
          <w:sz w:val="24"/>
        </w:rPr>
      </w:pPr>
      <w:r>
        <w:rPr>
          <w:rFonts w:hint="eastAsia" w:ascii="Times New Roman" w:hAnsi="Times New Roman"/>
          <w:b/>
          <w:bCs/>
          <w:sz w:val="20"/>
          <w:szCs w:val="20"/>
        </w:rPr>
        <w:t>先修课程：</w:t>
      </w:r>
      <w:r>
        <w:rPr>
          <w:rFonts w:hint="eastAsia"/>
          <w:color w:val="000000"/>
          <w:sz w:val="20"/>
          <w:szCs w:val="20"/>
        </w:rPr>
        <w:t>《学前教育学》《学前儿童发展科学》《幼儿园课程》《幼儿园游戏》《教育哲学》</w:t>
      </w: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《幼儿园教师专业伦理》是高校学前教育专业的必修课程。</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幼儿园教师专业伦理是基于幼儿教育的共同价值观而提出的处理保教工作中各种人际关系的行为规范。其功能在于对内帮助每个幼教从业者关注保教行为的适当与否，为工作中遇到的道德困境的解决提供依据；对外用以彰显幼教专业责任和维护幼教专业声誉。</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在提升幼儿教育的专业性，推进幼儿园教师的专业化，追求优质的幼儿教育的背景下，这门课程显得尤为重要。</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本课程教学目标：</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情意方面。帮助学生能认同幼儿园教师专业伦理对未来从事幼教工作的重要价值，协助学生愿将所学专业伦理相关知识内化为自己的价值观并落实于幼教职场；</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认知方面。帮助学生理解幼儿教育的专业性及幼儿园教师专业伦理的基本知识，理解幼儿园教师专业伦理的意义，分析品鉴国外境外幼儿园教师专业伦理规范，分析思考我国幼儿园教师专业伦理建设的传统、现状、问题及路径，探讨幼儿园教师专业伦理的基本取向以及面对保教工作中的各类服务对象分别应承担的伦理责任；</w:t>
      </w:r>
    </w:p>
    <w:p>
      <w:pPr>
        <w:snapToGrid w:val="0"/>
        <w:spacing w:line="360" w:lineRule="auto"/>
        <w:ind w:firstLine="340"/>
        <w:rPr>
          <w:rFonts w:ascii="宋体" w:hAnsi="宋体"/>
          <w:color w:val="000000"/>
          <w:sz w:val="20"/>
          <w:szCs w:val="20"/>
        </w:rPr>
      </w:pPr>
      <w:r>
        <w:rPr>
          <w:rFonts w:hint="eastAsia" w:ascii="宋体" w:hAnsi="宋体"/>
          <w:color w:val="000000"/>
          <w:sz w:val="20"/>
          <w:szCs w:val="20"/>
        </w:rPr>
        <w:t>技能方面。通过案例讨论碰撞领悟幼儿园教师专业伦理的相关理论以帮助学生也能举例分析幼教实践中的类似问题，协助学生能做好心理准备朝具专业伦理敏感度与判断力的方向努力，协助学生获得解决幼教职场所遭遇的伦理冲突与两难处境的能力</w:t>
      </w:r>
    </w:p>
    <w:p>
      <w:pPr>
        <w:pStyle w:val="7"/>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
      <w:pPr>
        <w:snapToGrid w:val="0"/>
        <w:spacing w:line="360" w:lineRule="auto"/>
        <w:ind w:firstLine="440" w:firstLineChars="220"/>
        <w:rPr>
          <w:rFonts w:hint="eastAsia" w:ascii="宋体" w:hAnsi="宋体"/>
          <w:color w:val="000000"/>
          <w:sz w:val="20"/>
          <w:szCs w:val="20"/>
        </w:rPr>
      </w:pPr>
      <w:r>
        <w:rPr>
          <w:rFonts w:hint="eastAsia" w:ascii="宋体" w:hAnsi="宋体"/>
          <w:color w:val="000000"/>
          <w:sz w:val="20"/>
          <w:szCs w:val="20"/>
        </w:rPr>
        <w:t>本课程学前教育专业的三年级学生必修课。本课程教学主要采用课堂讲授、案例讨论、小组学习、角色扮演、专题讲座等方式进行。修课学生须先阅读相关材料，结合幼儿园观察提出问题，撰写心得，并自由组成讨论小组作情景表演并就相关重难点问题进行交流。教学中鼓励学生经常关注保教现场的伦理问题，参考相关资料，以帮助理解教学内容，提升伦理问题的认知和现场洞察力。</w:t>
      </w:r>
    </w:p>
    <w:p>
      <w:pPr>
        <w:snapToGrid w:val="0"/>
        <w:spacing w:line="360" w:lineRule="auto"/>
        <w:rPr>
          <w:rFonts w:ascii="黑体" w:hAnsi="宋体" w:eastAsia="黑体"/>
          <w:b/>
          <w:bCs/>
          <w:sz w:val="24"/>
          <w:szCs w:val="32"/>
        </w:rPr>
      </w:pPr>
      <w:r>
        <w:rPr>
          <w:rFonts w:ascii="黑体" w:hAnsi="宋体" w:eastAsia="黑体"/>
          <w:b/>
          <w:bCs/>
          <w:sz w:val="24"/>
          <w:szCs w:val="32"/>
        </w:rPr>
        <w:t>四</w:t>
      </w:r>
      <w:r>
        <w:rPr>
          <w:rFonts w:hint="eastAsia" w:ascii="黑体" w:hAnsi="宋体" w:eastAsia="黑体"/>
          <w:b/>
          <w:bCs/>
          <w:sz w:val="24"/>
          <w:szCs w:val="32"/>
        </w:rPr>
        <w:t>、</w:t>
      </w:r>
      <w:r>
        <w:rPr>
          <w:rFonts w:ascii="黑体" w:hAnsi="宋体" w:eastAsia="黑体"/>
          <w:b/>
          <w:bCs/>
          <w:sz w:val="24"/>
          <w:szCs w:val="32"/>
        </w:rPr>
        <w:t>课程与</w:t>
      </w:r>
      <w:r>
        <w:rPr>
          <w:rFonts w:hint="eastAsia" w:ascii="黑体" w:hAnsi="宋体" w:eastAsia="黑体"/>
          <w:b/>
          <w:bCs/>
          <w:sz w:val="24"/>
          <w:szCs w:val="32"/>
        </w:rPr>
        <w:t>专业毕业要求</w:t>
      </w:r>
      <w:r>
        <w:rPr>
          <w:rFonts w:ascii="黑体" w:hAnsi="宋体" w:eastAsia="黑体"/>
          <w:b/>
          <w:bCs/>
          <w:sz w:val="24"/>
          <w:szCs w:val="32"/>
        </w:rPr>
        <w:t>的关联性</w:t>
      </w:r>
    </w:p>
    <w:tbl>
      <w:tblPr>
        <w:tblStyle w:val="10"/>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XQ111:</w:t>
            </w:r>
            <w:r>
              <w:rPr>
                <w:rFonts w:hint="eastAsia" w:ascii="楷体_GB2312" w:hAnsi="楷体" w:eastAsia="楷体_GB2312"/>
                <w:bCs/>
                <w:sz w:val="24"/>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XQ112:</w:t>
            </w:r>
            <w:r>
              <w:rPr>
                <w:rFonts w:hint="eastAsia" w:ascii="楷体_GB2312" w:hAnsi="楷体" w:eastAsia="楷体_GB2312"/>
                <w:bCs/>
                <w:sz w:val="24"/>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XQ113:</w:t>
            </w:r>
            <w:r>
              <w:rPr>
                <w:rFonts w:hint="eastAsia" w:ascii="楷体_GB2312" w:hAnsi="楷体" w:eastAsia="楷体_GB2312"/>
                <w:bCs/>
                <w:sz w:val="24"/>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XQ121:</w:t>
            </w:r>
            <w:r>
              <w:rPr>
                <w:rFonts w:hint="eastAsia" w:ascii="楷体_GB2312" w:hAnsi="楷体" w:eastAsia="楷体_GB2312"/>
                <w:bCs/>
                <w:sz w:val="24"/>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XQ122:</w:t>
            </w:r>
            <w:r>
              <w:rPr>
                <w:rFonts w:hint="eastAsia" w:ascii="楷体_GB2312" w:hAnsi="楷体" w:eastAsia="楷体_GB2312"/>
                <w:bCs/>
                <w:sz w:val="24"/>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XQ123:</w:t>
            </w:r>
            <w:r>
              <w:rPr>
                <w:rFonts w:hint="eastAsia" w:ascii="楷体_GB2312" w:hAnsi="楷体" w:eastAsia="楷体_GB2312"/>
                <w:bCs/>
                <w:sz w:val="24"/>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XQ211:</w:t>
            </w:r>
            <w:r>
              <w:rPr>
                <w:rFonts w:hint="eastAsia" w:ascii="楷体_GB2312" w:hAnsi="楷体" w:eastAsia="楷体_GB2312"/>
                <w:bCs/>
                <w:sz w:val="24"/>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XQ212:</w:t>
            </w:r>
            <w:r>
              <w:rPr>
                <w:rFonts w:hint="eastAsia" w:ascii="楷体_GB2312" w:hAnsi="楷体" w:eastAsia="楷体_GB2312"/>
                <w:bCs/>
                <w:sz w:val="24"/>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XQ213:</w:t>
            </w:r>
            <w:r>
              <w:rPr>
                <w:rFonts w:hint="eastAsia" w:ascii="楷体_GB2312" w:hAnsi="楷体" w:eastAsia="楷体_GB2312"/>
                <w:bCs/>
                <w:sz w:val="24"/>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XQ221:</w:t>
            </w:r>
            <w:r>
              <w:rPr>
                <w:rFonts w:hint="eastAsia" w:ascii="楷体_GB2312" w:hAnsi="楷体" w:eastAsia="楷体_GB2312"/>
                <w:bCs/>
                <w:sz w:val="24"/>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XQ222:</w:t>
            </w:r>
            <w:r>
              <w:rPr>
                <w:rFonts w:hint="eastAsia" w:ascii="楷体_GB2312" w:hAnsi="楷体" w:eastAsia="楷体_GB2312"/>
                <w:bCs/>
                <w:sz w:val="24"/>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XQ223:</w:t>
            </w:r>
            <w:r>
              <w:rPr>
                <w:rFonts w:hint="eastAsia" w:ascii="楷体_GB2312" w:hAnsi="楷体" w:eastAsia="楷体_GB2312"/>
                <w:bCs/>
                <w:sz w:val="24"/>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XQ231:</w:t>
            </w:r>
            <w:r>
              <w:rPr>
                <w:rFonts w:hint="eastAsia" w:ascii="楷体_GB2312" w:hAnsi="楷体" w:eastAsia="楷体_GB2312"/>
                <w:bCs/>
                <w:sz w:val="24"/>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XQ232:</w:t>
            </w:r>
            <w:r>
              <w:rPr>
                <w:rFonts w:hint="eastAsia" w:ascii="楷体_GB2312" w:hAnsi="楷体" w:eastAsia="楷体_GB2312"/>
                <w:bCs/>
                <w:sz w:val="24"/>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XQ233:</w:t>
            </w:r>
            <w:r>
              <w:rPr>
                <w:rFonts w:hint="eastAsia" w:ascii="楷体_GB2312" w:hAnsi="楷体" w:eastAsia="楷体_GB2312"/>
                <w:bCs/>
                <w:sz w:val="24"/>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XQ311:</w:t>
            </w:r>
            <w:r>
              <w:rPr>
                <w:rFonts w:hint="eastAsia" w:ascii="楷体_GB2312" w:hAnsi="楷体" w:eastAsia="楷体_GB2312"/>
                <w:bCs/>
                <w:sz w:val="24"/>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XQ312:</w:t>
            </w:r>
            <w:r>
              <w:rPr>
                <w:rFonts w:hint="eastAsia" w:ascii="楷体_GB2312" w:hAnsi="楷体" w:eastAsia="楷体_GB2312"/>
                <w:bCs/>
                <w:sz w:val="24"/>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XQ313:</w:t>
            </w:r>
            <w:r>
              <w:rPr>
                <w:rFonts w:hint="eastAsia" w:ascii="楷体_GB2312" w:hAnsi="楷体" w:eastAsia="楷体_GB2312"/>
                <w:bCs/>
                <w:sz w:val="24"/>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XQ321:</w:t>
            </w:r>
            <w:r>
              <w:rPr>
                <w:rFonts w:hint="eastAsia" w:ascii="楷体_GB2312" w:hAnsi="楷体" w:eastAsia="楷体_GB2312"/>
                <w:bCs/>
                <w:sz w:val="24"/>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XQ322:</w:t>
            </w:r>
            <w:r>
              <w:rPr>
                <w:rFonts w:hint="eastAsia" w:ascii="楷体_GB2312" w:hAnsi="楷体" w:eastAsia="楷体_GB2312"/>
                <w:bCs/>
                <w:sz w:val="24"/>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XQ323:</w:t>
            </w:r>
            <w:r>
              <w:rPr>
                <w:rFonts w:hint="eastAsia" w:ascii="楷体_GB2312" w:hAnsi="楷体" w:eastAsia="楷体_GB2312"/>
                <w:bCs/>
                <w:sz w:val="24"/>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XQ411:</w:t>
            </w:r>
            <w:r>
              <w:rPr>
                <w:rFonts w:hint="eastAsia" w:ascii="楷体_GB2312" w:hAnsi="楷体" w:eastAsia="楷体_GB2312"/>
                <w:bCs/>
                <w:sz w:val="24"/>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XQ412:</w:t>
            </w:r>
            <w:r>
              <w:rPr>
                <w:rFonts w:hint="eastAsia" w:ascii="楷体_GB2312" w:hAnsi="楷体" w:eastAsia="楷体_GB2312"/>
                <w:bCs/>
                <w:sz w:val="24"/>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XQ413:</w:t>
            </w:r>
            <w:r>
              <w:rPr>
                <w:rFonts w:hint="eastAsia" w:ascii="楷体_GB2312" w:hAnsi="楷体" w:eastAsia="楷体_GB2312"/>
                <w:bCs/>
                <w:sz w:val="24"/>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XQ421:</w:t>
            </w:r>
            <w:r>
              <w:rPr>
                <w:rFonts w:hint="eastAsia" w:ascii="楷体_GB2312" w:hAnsi="楷体" w:eastAsia="楷体_GB2312"/>
                <w:bCs/>
                <w:sz w:val="24"/>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XQ422:</w:t>
            </w:r>
            <w:r>
              <w:rPr>
                <w:rFonts w:hint="eastAsia" w:ascii="楷体_GB2312" w:hAnsi="楷体" w:eastAsia="楷体_GB2312"/>
                <w:bCs/>
                <w:sz w:val="24"/>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XQ423:</w:t>
            </w:r>
            <w:r>
              <w:rPr>
                <w:rFonts w:hint="eastAsia" w:ascii="楷体_GB2312" w:hAnsi="楷体" w:eastAsia="楷体_GB2312"/>
                <w:bCs/>
                <w:sz w:val="24"/>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XQ431:</w:t>
            </w:r>
            <w:r>
              <w:rPr>
                <w:rFonts w:hint="eastAsia" w:ascii="楷体_GB2312" w:hAnsi="楷体" w:eastAsia="楷体_GB2312"/>
                <w:bCs/>
                <w:sz w:val="24"/>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XQ432:</w:t>
            </w:r>
            <w:r>
              <w:rPr>
                <w:rFonts w:hint="eastAsia" w:ascii="楷体_GB2312" w:hAnsi="楷体" w:eastAsia="楷体_GB2312"/>
                <w:bCs/>
                <w:sz w:val="24"/>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XQ433:</w:t>
            </w:r>
            <w:r>
              <w:rPr>
                <w:rFonts w:hint="eastAsia" w:ascii="楷体_GB2312" w:hAnsi="楷体" w:eastAsia="楷体_GB2312"/>
                <w:bCs/>
                <w:sz w:val="24"/>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color w:val="000000"/>
              </w:rPr>
            </w:pPr>
          </w:p>
        </w:tc>
      </w:tr>
    </w:tbl>
    <w:p>
      <w:pPr>
        <w:widowControl/>
        <w:spacing w:before="156" w:beforeLines="50" w:after="156" w:afterLines="50" w:line="288" w:lineRule="auto"/>
        <w:jc w:val="left"/>
        <w:rPr>
          <w:rFonts w:ascii="黑体" w:hAnsi="宋体" w:eastAsia="黑体"/>
          <w:sz w:val="24"/>
          <w:highlight w:val="yellow"/>
        </w:rPr>
      </w:pPr>
    </w:p>
    <w:p>
      <w:pPr>
        <w:pStyle w:val="7"/>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tbl>
      <w:tblPr>
        <w:tblStyle w:val="9"/>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color w:val="000000"/>
                <w:sz w:val="20"/>
                <w:szCs w:val="20"/>
              </w:rPr>
              <w:t>XQ1</w:t>
            </w:r>
            <w:r>
              <w:rPr>
                <w:rFonts w:hint="eastAsia"/>
                <w:color w:val="000000"/>
                <w:sz w:val="20"/>
                <w:szCs w:val="20"/>
              </w:rPr>
              <w:t>1</w:t>
            </w:r>
            <w:r>
              <w:rPr>
                <w:color w:val="000000"/>
                <w:sz w:val="20"/>
                <w:szCs w:val="20"/>
              </w:rPr>
              <w:t xml:space="preserve">2 </w:t>
            </w:r>
          </w:p>
        </w:tc>
        <w:tc>
          <w:tcPr>
            <w:tcW w:w="24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color w:val="000000"/>
                <w:sz w:val="20"/>
                <w:szCs w:val="20"/>
              </w:rPr>
            </w:pPr>
            <w:r>
              <w:rPr>
                <w:rFonts w:hint="eastAsia"/>
                <w:bCs/>
                <w:color w:val="000000"/>
                <w:sz w:val="20"/>
                <w:szCs w:val="20"/>
              </w:rPr>
              <w:t>厘清个人价值观和共同价值观，理解学前教育行业的核心价值</w:t>
            </w:r>
            <w:r>
              <w:rPr>
                <w:rFonts w:hint="eastAsia"/>
                <w:color w:val="000000"/>
                <w:sz w:val="20"/>
                <w:szCs w:val="20"/>
              </w:rPr>
              <w:t>。通过保教现场观察讨论感悟价值观在保教中落实。</w:t>
            </w:r>
          </w:p>
        </w:tc>
        <w:tc>
          <w:tcPr>
            <w:tcW w:w="219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文献（教材）阅读，幼儿园观察，课堂提问，教师讲解，实例分析，课堂讨论。</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课堂参与、提问实例收集与分析情况评分。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color w:val="000000"/>
                <w:sz w:val="20"/>
                <w:szCs w:val="20"/>
              </w:rPr>
              <w:t>XQ1</w:t>
            </w:r>
            <w:r>
              <w:rPr>
                <w:rFonts w:hint="eastAsia"/>
                <w:color w:val="000000"/>
                <w:sz w:val="20"/>
                <w:szCs w:val="20"/>
              </w:rPr>
              <w:t>1</w:t>
            </w:r>
            <w:r>
              <w:rPr>
                <w:color w:val="000000"/>
                <w:sz w:val="20"/>
                <w:szCs w:val="20"/>
              </w:rPr>
              <w:t>3</w:t>
            </w:r>
          </w:p>
        </w:tc>
        <w:tc>
          <w:tcPr>
            <w:tcW w:w="2470"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分析实践园的教师行为规范，分析国际同行的行为规范，</w:t>
            </w:r>
            <w:r>
              <w:rPr>
                <w:rFonts w:hint="eastAsia"/>
                <w:bCs/>
                <w:color w:val="000000"/>
                <w:sz w:val="20"/>
                <w:szCs w:val="20"/>
              </w:rPr>
              <w:t>实践中去思考保教行为规范的制定和应用</w:t>
            </w:r>
            <w:r>
              <w:rPr>
                <w:rFonts w:hint="eastAsia"/>
                <w:color w:val="000000"/>
                <w:sz w:val="20"/>
                <w:szCs w:val="20"/>
              </w:rPr>
              <w:t>。</w:t>
            </w:r>
          </w:p>
        </w:tc>
        <w:tc>
          <w:tcPr>
            <w:tcW w:w="219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收集实践园和国内外的幼儿园教师行为规范，幼儿园观察，课堂提问，教师讲解，情景表演，课堂讨论。</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课堂参与、提问实例收集与分析、情景表演情况评分。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color w:val="000000"/>
                <w:sz w:val="20"/>
                <w:szCs w:val="20"/>
              </w:rPr>
              <w:t xml:space="preserve">XQ </w:t>
            </w:r>
            <w:r>
              <w:rPr>
                <w:rFonts w:hint="eastAsia"/>
                <w:color w:val="000000"/>
                <w:sz w:val="20"/>
                <w:szCs w:val="20"/>
              </w:rPr>
              <w:t>121</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bCs/>
                <w:color w:val="000000"/>
                <w:sz w:val="20"/>
                <w:szCs w:val="20"/>
              </w:rPr>
              <w:t>通过厘清并在实践中体会个人价值和社会价值的关系以增强对本专业价值认同感和使命感</w:t>
            </w:r>
            <w:r>
              <w:rPr>
                <w:rFonts w:hint="eastAsia"/>
                <w:color w:val="000000"/>
                <w:sz w:val="20"/>
                <w:szCs w:val="20"/>
              </w:rPr>
              <w:t>。</w:t>
            </w:r>
          </w:p>
        </w:tc>
        <w:tc>
          <w:tcPr>
            <w:tcW w:w="219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文献（教材）阅读，幼儿园观察，课堂提问，教师讲解，实例分析，课堂讨论。</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课堂参与、提问实例收集与分析情况评分。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color w:val="000000"/>
                <w:sz w:val="20"/>
                <w:szCs w:val="20"/>
              </w:rPr>
              <w:t xml:space="preserve">XQ </w:t>
            </w:r>
            <w:r>
              <w:rPr>
                <w:rFonts w:hint="eastAsia"/>
                <w:color w:val="000000"/>
                <w:sz w:val="20"/>
                <w:szCs w:val="20"/>
              </w:rPr>
              <w:t>122</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bCs/>
                <w:color w:val="000000"/>
                <w:sz w:val="20"/>
                <w:szCs w:val="20"/>
              </w:rPr>
              <w:t>通过逻辑和实例的探讨体会幼教需要信仰、生命关怀，懂得从幼儿成长规律出发做幼教才体现幼教的科学精神</w:t>
            </w:r>
            <w:r>
              <w:rPr>
                <w:rFonts w:hint="eastAsia"/>
                <w:color w:val="000000"/>
                <w:sz w:val="20"/>
                <w:szCs w:val="20"/>
              </w:rPr>
              <w:t>。</w:t>
            </w:r>
          </w:p>
        </w:tc>
        <w:tc>
          <w:tcPr>
            <w:tcW w:w="219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实例收集，幼儿园观察，课堂提问，教师讲解，实例分析，情景表演，课堂讨论。</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课堂参与、提问实例收集与分析、情景表演情况评分。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color w:val="000000"/>
                <w:sz w:val="20"/>
                <w:szCs w:val="20"/>
              </w:rPr>
              <w:t xml:space="preserve">XQ </w:t>
            </w:r>
            <w:r>
              <w:rPr>
                <w:rFonts w:hint="eastAsia"/>
                <w:color w:val="000000"/>
                <w:sz w:val="20"/>
                <w:szCs w:val="20"/>
              </w:rPr>
              <w:t>123</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rPr>
                <w:sz w:val="20"/>
                <w:szCs w:val="20"/>
              </w:rPr>
            </w:pPr>
            <w:r>
              <w:rPr>
                <w:rFonts w:hint="eastAsia"/>
                <w:bCs/>
                <w:sz w:val="20"/>
                <w:szCs w:val="20"/>
              </w:rPr>
              <w:t>理解幼儿为本的理念，在实践中体会这一理念怎么落地，体会幼教爱与自由的重要</w:t>
            </w:r>
            <w:r>
              <w:rPr>
                <w:rFonts w:hint="eastAsia"/>
                <w:sz w:val="20"/>
                <w:szCs w:val="20"/>
              </w:rPr>
              <w:t>。</w:t>
            </w:r>
          </w:p>
        </w:tc>
        <w:tc>
          <w:tcPr>
            <w:tcW w:w="219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文献（教材）阅读，幼儿园观察，课堂提问，教师讲解，实例分析，情景表演，课堂讨论。</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课堂参与、提问实例收集与分析、情景表演情况评分。</w:t>
            </w:r>
          </w:p>
        </w:tc>
      </w:tr>
    </w:tbl>
    <w:p>
      <w:pPr>
        <w:snapToGrid w:val="0"/>
        <w:spacing w:line="288" w:lineRule="auto"/>
        <w:rPr>
          <w:rFonts w:hint="eastAsia"/>
          <w:color w:val="000000"/>
          <w:sz w:val="20"/>
          <w:szCs w:val="20"/>
          <w:highlight w:val="cyan"/>
        </w:rPr>
      </w:pPr>
    </w:p>
    <w:p>
      <w:pPr>
        <w:pStyle w:val="7"/>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tbl>
      <w:tblPr>
        <w:tblStyle w:val="10"/>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201"/>
        <w:gridCol w:w="238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201"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3"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能力要求</w:t>
            </w:r>
          </w:p>
        </w:tc>
        <w:tc>
          <w:tcPr>
            <w:tcW w:w="2196"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专业与伦理（2课时）</w:t>
            </w:r>
          </w:p>
        </w:tc>
        <w:tc>
          <w:tcPr>
            <w:tcW w:w="2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何为专业伦理</w:t>
            </w:r>
          </w:p>
          <w:p>
            <w:pPr>
              <w:rPr>
                <w:szCs w:val="21"/>
              </w:rPr>
            </w:pPr>
            <w:r>
              <w:rPr>
                <w:rFonts w:hint="eastAsia"/>
                <w:szCs w:val="21"/>
              </w:rPr>
              <w:t>2</w:t>
            </w:r>
            <w:r>
              <w:rPr>
                <w:szCs w:val="21"/>
              </w:rPr>
              <w:t>.</w:t>
            </w:r>
            <w:r>
              <w:rPr>
                <w:rFonts w:hint="eastAsia"/>
                <w:szCs w:val="21"/>
              </w:rPr>
              <w:t>专业伦理与专业化</w:t>
            </w:r>
          </w:p>
          <w:p>
            <w:pPr>
              <w:rPr>
                <w:rFonts w:hint="eastAsia" w:ascii="ˎ̥" w:hAnsi="ˎ̥" w:cs="宋体"/>
                <w:color w:val="000000"/>
                <w:szCs w:val="21"/>
              </w:rPr>
            </w:pPr>
            <w:r>
              <w:rPr>
                <w:rFonts w:hint="eastAsia"/>
                <w:szCs w:val="21"/>
              </w:rPr>
              <w:t>3</w:t>
            </w:r>
            <w:r>
              <w:rPr>
                <w:szCs w:val="21"/>
              </w:rPr>
              <w:t>.</w:t>
            </w:r>
            <w:r>
              <w:rPr>
                <w:rFonts w:hint="eastAsia"/>
                <w:szCs w:val="21"/>
              </w:rPr>
              <w:t>专业伦理与伦理学</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文献搜集</w:t>
            </w:r>
          </w:p>
          <w:p>
            <w:pPr>
              <w:jc w:val="left"/>
              <w:rPr>
                <w:color w:val="000000"/>
              </w:rPr>
            </w:pPr>
            <w:r>
              <w:rPr>
                <w:color w:val="000000"/>
              </w:rPr>
              <w:t>2.</w:t>
            </w:r>
            <w:r>
              <w:rPr>
                <w:rFonts w:hint="eastAsia"/>
                <w:color w:val="000000"/>
              </w:rPr>
              <w:t>发现问题</w:t>
            </w:r>
          </w:p>
          <w:p>
            <w:pPr>
              <w:jc w:val="left"/>
              <w:rPr>
                <w:color w:val="000000"/>
              </w:rPr>
            </w:pPr>
            <w:r>
              <w:rPr>
                <w:color w:val="000000"/>
              </w:rPr>
              <w:t>3.</w:t>
            </w:r>
            <w:r>
              <w:rPr>
                <w:rFonts w:hint="eastAsia"/>
                <w:color w:val="000000"/>
              </w:rPr>
              <w:t>观点表达</w:t>
            </w: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专业伦理与专业</w:t>
            </w:r>
          </w:p>
          <w:p>
            <w:pPr>
              <w:jc w:val="left"/>
              <w:rPr>
                <w:color w:val="000000"/>
              </w:rPr>
            </w:pPr>
            <w:r>
              <w:rPr>
                <w:color w:val="000000"/>
              </w:rPr>
              <w:t>2.</w:t>
            </w:r>
            <w:r>
              <w:rPr>
                <w:rFonts w:hint="eastAsia"/>
                <w:color w:val="000000"/>
              </w:rPr>
              <w:t>专业伦理与伦理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ˎ̥" w:hAnsi="ˎ̥" w:cs="宋体"/>
                <w:color w:val="000000"/>
                <w:szCs w:val="21"/>
              </w:rPr>
            </w:pPr>
            <w:r>
              <w:rPr>
                <w:rFonts w:hint="eastAsia" w:ascii="ˎ̥" w:hAnsi="ˎ̥"/>
                <w:color w:val="000000"/>
                <w:szCs w:val="21"/>
              </w:rPr>
              <w:t>2</w:t>
            </w:r>
            <w:r>
              <w:rPr>
                <w:rFonts w:ascii="ˎ̥" w:hAnsi="ˎ̥"/>
                <w:color w:val="000000"/>
                <w:szCs w:val="21"/>
              </w:rPr>
              <w:t>.</w:t>
            </w:r>
            <w:r>
              <w:rPr>
                <w:rFonts w:hint="eastAsia"/>
                <w:szCs w:val="21"/>
              </w:rPr>
              <w:t>专业伦理的核心取向与基本要求（2课时）</w:t>
            </w:r>
          </w:p>
        </w:tc>
        <w:tc>
          <w:tcPr>
            <w:tcW w:w="220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w:t>
            </w:r>
            <w:r>
              <w:rPr>
                <w:szCs w:val="21"/>
              </w:rPr>
              <w:t>.</w:t>
            </w:r>
            <w:r>
              <w:rPr>
                <w:rFonts w:hint="eastAsia"/>
                <w:szCs w:val="21"/>
              </w:rPr>
              <w:t>教育的价值守望</w:t>
            </w:r>
          </w:p>
          <w:p>
            <w:pPr>
              <w:rPr>
                <w:szCs w:val="21"/>
              </w:rPr>
            </w:pPr>
            <w:r>
              <w:rPr>
                <w:rFonts w:hint="eastAsia" w:ascii="宋体" w:hAnsi="宋体"/>
                <w:szCs w:val="21"/>
              </w:rPr>
              <w:t>2</w:t>
            </w:r>
            <w:r>
              <w:rPr>
                <w:rFonts w:ascii="宋体" w:hAnsi="宋体"/>
                <w:szCs w:val="21"/>
              </w:rPr>
              <w:t>.</w:t>
            </w:r>
            <w:r>
              <w:rPr>
                <w:rFonts w:hint="eastAsia" w:ascii="宋体" w:hAnsi="宋体"/>
                <w:szCs w:val="21"/>
              </w:rPr>
              <w:t>幼儿为本</w:t>
            </w:r>
          </w:p>
          <w:p>
            <w:pPr>
              <w:spacing w:line="360" w:lineRule="auto"/>
              <w:rPr>
                <w:rFonts w:hint="eastAsia" w:ascii="ˎ̥" w:hAnsi="ˎ̥" w:cs="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底线与两难</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1.文献搜集</w:t>
            </w:r>
          </w:p>
          <w:p>
            <w:pPr>
              <w:jc w:val="left"/>
              <w:rPr>
                <w:color w:val="000000"/>
              </w:rPr>
            </w:pPr>
            <w:r>
              <w:rPr>
                <w:color w:val="000000"/>
              </w:rPr>
              <w:t>2.</w:t>
            </w:r>
            <w:r>
              <w:rPr>
                <w:rFonts w:hint="eastAsia"/>
                <w:color w:val="000000"/>
              </w:rPr>
              <w:t>案例搜集</w:t>
            </w:r>
          </w:p>
          <w:p>
            <w:pPr>
              <w:jc w:val="left"/>
              <w:rPr>
                <w:color w:val="000000"/>
              </w:rPr>
            </w:pPr>
            <w:r>
              <w:rPr>
                <w:color w:val="000000"/>
              </w:rPr>
              <w:t>3.发现问题</w:t>
            </w:r>
          </w:p>
          <w:p>
            <w:pPr>
              <w:jc w:val="left"/>
              <w:rPr>
                <w:color w:val="000000"/>
              </w:rPr>
            </w:pP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个人价值和共同价值</w:t>
            </w:r>
          </w:p>
          <w:p>
            <w:pPr>
              <w:jc w:val="left"/>
              <w:rPr>
                <w:color w:val="000000"/>
              </w:rPr>
            </w:pPr>
            <w:r>
              <w:rPr>
                <w:color w:val="000000"/>
              </w:rPr>
              <w:t>2.</w:t>
            </w:r>
            <w:r>
              <w:rPr>
                <w:rFonts w:hint="eastAsia"/>
                <w:color w:val="000000"/>
              </w:rPr>
              <w:t>幼儿为本</w:t>
            </w:r>
          </w:p>
          <w:p>
            <w:pPr>
              <w:jc w:val="left"/>
              <w:rPr>
                <w:color w:val="000000"/>
              </w:rPr>
            </w:pPr>
            <w:r>
              <w:rPr>
                <w:color w:val="000000"/>
              </w:rPr>
              <w:t>3.</w:t>
            </w:r>
            <w:r>
              <w:rPr>
                <w:rFonts w:hint="eastAsia"/>
                <w:color w:val="000000"/>
              </w:rPr>
              <w:t>伦理两难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ˎ̥" w:hAnsi="ˎ̥"/>
                <w:color w:val="000000"/>
                <w:szCs w:val="21"/>
              </w:rPr>
            </w:pPr>
            <w:r>
              <w:rPr>
                <w:rFonts w:hint="eastAsia" w:ascii="ˎ̥" w:hAnsi="ˎ̥"/>
                <w:color w:val="000000"/>
                <w:szCs w:val="21"/>
              </w:rPr>
              <w:t>3</w:t>
            </w:r>
            <w:r>
              <w:rPr>
                <w:rFonts w:ascii="ˎ̥" w:hAnsi="ˎ̥"/>
                <w:color w:val="000000"/>
                <w:szCs w:val="21"/>
              </w:rPr>
              <w:t>.</w:t>
            </w:r>
            <w:r>
              <w:rPr>
                <w:rFonts w:hint="eastAsia" w:ascii="ˎ̥" w:hAnsi="ˎ̥"/>
                <w:color w:val="000000"/>
                <w:szCs w:val="21"/>
              </w:rPr>
              <w:t>专业伦理的建构</w:t>
            </w:r>
          </w:p>
          <w:p>
            <w:pPr>
              <w:spacing w:line="300" w:lineRule="auto"/>
              <w:rPr>
                <w:rFonts w:hint="eastAsia" w:ascii="ˎ̥" w:hAnsi="ˎ̥"/>
                <w:color w:val="000000"/>
                <w:szCs w:val="21"/>
              </w:rPr>
            </w:pPr>
            <w:r>
              <w:rPr>
                <w:rFonts w:hint="eastAsia" w:ascii="ˎ̥" w:hAnsi="ˎ̥"/>
                <w:color w:val="000000"/>
                <w:szCs w:val="21"/>
              </w:rPr>
              <w:t>（2课时）</w:t>
            </w:r>
          </w:p>
        </w:tc>
        <w:tc>
          <w:tcPr>
            <w:tcW w:w="2201" w:type="dxa"/>
            <w:tcBorders>
              <w:top w:val="single" w:color="auto" w:sz="4" w:space="0"/>
              <w:left w:val="single" w:color="auto" w:sz="4" w:space="0"/>
              <w:bottom w:val="single" w:color="auto" w:sz="4" w:space="0"/>
              <w:right w:val="single" w:color="auto" w:sz="4" w:space="0"/>
            </w:tcBorders>
            <w:vAlign w:val="center"/>
          </w:tcPr>
          <w:p>
            <w:pPr>
              <w:spacing w:line="300" w:lineRule="auto"/>
              <w:rPr>
                <w:szCs w:val="21"/>
              </w:rPr>
            </w:pPr>
            <w:r>
              <w:rPr>
                <w:rFonts w:hint="eastAsia"/>
                <w:szCs w:val="21"/>
              </w:rPr>
              <w:t>1</w:t>
            </w:r>
            <w:r>
              <w:rPr>
                <w:szCs w:val="21"/>
              </w:rPr>
              <w:t>.</w:t>
            </w:r>
            <w:r>
              <w:rPr>
                <w:rFonts w:hint="eastAsia"/>
                <w:szCs w:val="21"/>
              </w:rPr>
              <w:t>专业伦理的他山之石</w:t>
            </w:r>
          </w:p>
          <w:p>
            <w:pPr>
              <w:spacing w:line="300" w:lineRule="auto"/>
              <w:rPr>
                <w:szCs w:val="21"/>
              </w:rPr>
            </w:pPr>
            <w:r>
              <w:rPr>
                <w:rFonts w:hint="eastAsia"/>
                <w:szCs w:val="21"/>
              </w:rPr>
              <w:t>2</w:t>
            </w:r>
            <w:r>
              <w:rPr>
                <w:szCs w:val="21"/>
              </w:rPr>
              <w:t>.</w:t>
            </w:r>
            <w:r>
              <w:rPr>
                <w:rFonts w:hint="eastAsia"/>
                <w:szCs w:val="21"/>
              </w:rPr>
              <w:t>专业伦理的本土行动</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1.文献搜集</w:t>
            </w:r>
          </w:p>
          <w:p>
            <w:pPr>
              <w:jc w:val="left"/>
              <w:rPr>
                <w:color w:val="000000"/>
              </w:rPr>
            </w:pPr>
            <w:r>
              <w:rPr>
                <w:color w:val="000000"/>
              </w:rPr>
              <w:t>2.</w:t>
            </w:r>
            <w:r>
              <w:rPr>
                <w:rFonts w:hint="eastAsia"/>
                <w:color w:val="000000"/>
              </w:rPr>
              <w:t>案例搜集</w:t>
            </w:r>
          </w:p>
          <w:p>
            <w:pPr>
              <w:jc w:val="left"/>
              <w:rPr>
                <w:color w:val="000000"/>
              </w:rPr>
            </w:pPr>
            <w:r>
              <w:rPr>
                <w:color w:val="000000"/>
              </w:rPr>
              <w:t>3.发现问题</w:t>
            </w:r>
          </w:p>
          <w:p>
            <w:pPr>
              <w:jc w:val="left"/>
              <w:rPr>
                <w:color w:val="000000"/>
              </w:rPr>
            </w:pPr>
            <w:r>
              <w:rPr>
                <w:rFonts w:hint="eastAsia"/>
                <w:color w:val="000000"/>
              </w:rPr>
              <w:t>4</w:t>
            </w:r>
            <w:r>
              <w:rPr>
                <w:color w:val="000000"/>
              </w:rPr>
              <w:t>.</w:t>
            </w:r>
            <w:r>
              <w:rPr>
                <w:rFonts w:hint="eastAsia"/>
                <w:color w:val="000000"/>
              </w:rPr>
              <w:t>观点表达</w:t>
            </w: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伦理建构</w:t>
            </w:r>
          </w:p>
          <w:p>
            <w:pPr>
              <w:jc w:val="left"/>
              <w:rPr>
                <w:color w:val="000000"/>
              </w:rPr>
            </w:pPr>
            <w:r>
              <w:rPr>
                <w:color w:val="000000"/>
              </w:rPr>
              <w:t>2.</w:t>
            </w:r>
            <w:r>
              <w:rPr>
                <w:rFonts w:hint="eastAsia"/>
                <w:color w:val="000000"/>
              </w:rPr>
              <w:t>幼教专业伦理的借鉴与本土化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r>
              <w:rPr>
                <w:rFonts w:hint="eastAsia" w:ascii="ˎ̥" w:hAnsi="ˎ̥"/>
                <w:color w:val="000000"/>
                <w:szCs w:val="21"/>
              </w:rPr>
              <w:t>4</w:t>
            </w:r>
            <w:r>
              <w:rPr>
                <w:rFonts w:ascii="ˎ̥" w:hAnsi="ˎ̥"/>
                <w:color w:val="000000"/>
                <w:szCs w:val="21"/>
              </w:rPr>
              <w:t>.</w:t>
            </w:r>
            <w:r>
              <w:rPr>
                <w:rFonts w:hint="eastAsia" w:ascii="ˎ̥" w:hAnsi="ˎ̥"/>
                <w:color w:val="000000"/>
                <w:szCs w:val="21"/>
              </w:rPr>
              <w:t>专业伦理的责任与实践（</w:t>
            </w:r>
            <w:r>
              <w:rPr>
                <w:rFonts w:ascii="ˎ̥" w:hAnsi="ˎ̥"/>
                <w:color w:val="000000"/>
                <w:szCs w:val="21"/>
              </w:rPr>
              <w:t>2</w:t>
            </w:r>
            <w:r>
              <w:rPr>
                <w:rFonts w:hint="eastAsia" w:ascii="ˎ̥" w:hAnsi="ˎ̥"/>
                <w:color w:val="000000"/>
                <w:szCs w:val="21"/>
              </w:rPr>
              <w:t>课时）</w:t>
            </w:r>
          </w:p>
          <w:p>
            <w:pPr>
              <w:rPr>
                <w:rFonts w:hint="eastAsia" w:ascii="ˎ̥" w:hAnsi="ˎ̥"/>
                <w:color w:val="00000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r>
              <w:rPr>
                <w:rFonts w:hint="eastAsia"/>
              </w:rPr>
              <w:t>1</w:t>
            </w:r>
            <w:r>
              <w:t>.</w:t>
            </w:r>
            <w:r>
              <w:rPr>
                <w:rFonts w:hint="eastAsia"/>
              </w:rPr>
              <w:t>对幼儿的伦理责任与实践</w:t>
            </w:r>
          </w:p>
          <w:p>
            <w:pPr>
              <w:rPr>
                <w:rFonts w:hint="eastAsia" w:ascii="ˎ̥" w:hAnsi="ˎ̥" w:cs="宋体"/>
                <w:color w:val="000000"/>
                <w:szCs w:val="21"/>
              </w:rPr>
            </w:pPr>
            <w:r>
              <w:rPr>
                <w:rFonts w:hint="eastAsia"/>
              </w:rPr>
              <w:t>2</w:t>
            </w:r>
            <w:r>
              <w:t>.</w:t>
            </w:r>
            <w:r>
              <w:rPr>
                <w:rFonts w:hint="eastAsia"/>
              </w:rPr>
              <w:t>对家庭的责任与实践</w:t>
            </w:r>
          </w:p>
          <w:p>
            <w:pPr>
              <w:rPr>
                <w:rFonts w:hint="eastAsia" w:ascii="ˎ̥" w:hAnsi="ˎ̥" w:cs="宋体"/>
                <w:color w:val="000000"/>
                <w:szCs w:val="21"/>
              </w:rPr>
            </w:pPr>
            <w:r>
              <w:rPr>
                <w:rFonts w:hint="eastAsia"/>
              </w:rPr>
              <w:t>3</w:t>
            </w:r>
            <w:r>
              <w:t>.</w:t>
            </w:r>
            <w:r>
              <w:rPr>
                <w:rFonts w:hint="eastAsia"/>
              </w:rPr>
              <w:t>对同事的责任与实践</w:t>
            </w:r>
          </w:p>
          <w:p>
            <w:pPr>
              <w:rPr>
                <w:rFonts w:hint="eastAsia" w:ascii="ˎ̥" w:hAnsi="ˎ̥" w:cs="宋体"/>
                <w:color w:val="000000"/>
                <w:szCs w:val="21"/>
              </w:rPr>
            </w:pPr>
            <w:r>
              <w:rPr>
                <w:rFonts w:hint="eastAsia"/>
              </w:rPr>
              <w:t>4</w:t>
            </w:r>
            <w:r>
              <w:t>.</w:t>
            </w:r>
            <w:r>
              <w:rPr>
                <w:rFonts w:hint="eastAsia"/>
              </w:rPr>
              <w:t>对社区的责任与实践</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1.文献搜集</w:t>
            </w:r>
          </w:p>
          <w:p>
            <w:pPr>
              <w:jc w:val="left"/>
              <w:rPr>
                <w:color w:val="000000"/>
              </w:rPr>
            </w:pPr>
            <w:r>
              <w:rPr>
                <w:color w:val="000000"/>
              </w:rPr>
              <w:t>2.</w:t>
            </w:r>
            <w:r>
              <w:rPr>
                <w:rFonts w:hint="eastAsia"/>
                <w:color w:val="000000"/>
              </w:rPr>
              <w:t>案例搜集</w:t>
            </w:r>
          </w:p>
          <w:p>
            <w:pPr>
              <w:jc w:val="left"/>
              <w:rPr>
                <w:color w:val="000000"/>
              </w:rPr>
            </w:pPr>
            <w:r>
              <w:rPr>
                <w:color w:val="000000"/>
              </w:rPr>
              <w:t>3.发现问题</w:t>
            </w:r>
          </w:p>
          <w:p>
            <w:pPr>
              <w:jc w:val="left"/>
              <w:rPr>
                <w:color w:val="000000"/>
              </w:rPr>
            </w:pP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伦理与专业中的人际关系</w:t>
            </w:r>
          </w:p>
          <w:p>
            <w:pPr>
              <w:jc w:val="left"/>
              <w:rPr>
                <w:color w:val="000000"/>
              </w:rPr>
            </w:pPr>
            <w:r>
              <w:rPr>
                <w:color w:val="000000"/>
              </w:rPr>
              <w:t>2.</w:t>
            </w:r>
            <w:r>
              <w:rPr>
                <w:rFonts w:hint="eastAsia"/>
                <w:color w:val="000000"/>
              </w:rPr>
              <w:t>伦理责任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保教现场的伦理践行</w:t>
            </w:r>
          </w:p>
          <w:p>
            <w:pPr>
              <w:rPr>
                <w:rFonts w:hint="eastAsia" w:ascii="ˎ̥" w:hAnsi="ˎ̥"/>
                <w:color w:val="000000"/>
                <w:szCs w:val="21"/>
              </w:rPr>
            </w:pPr>
            <w:r>
              <w:rPr>
                <w:rFonts w:hint="eastAsia" w:ascii="宋体" w:hAnsi="宋体"/>
                <w:color w:val="000000"/>
                <w:szCs w:val="21"/>
              </w:rPr>
              <w:t>（2课时）</w:t>
            </w:r>
          </w:p>
        </w:tc>
        <w:tc>
          <w:tcPr>
            <w:tcW w:w="22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教师的说与听</w:t>
            </w:r>
          </w:p>
          <w:p>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教师的宽容</w:t>
            </w:r>
          </w:p>
          <w:p>
            <w:r>
              <w:rPr>
                <w:rFonts w:hint="eastAsia"/>
              </w:rPr>
              <w:t>3</w:t>
            </w:r>
            <w:r>
              <w:t>.</w:t>
            </w:r>
            <w:r>
              <w:rPr>
                <w:rFonts w:hint="eastAsia"/>
              </w:rPr>
              <w:t>教师的公正</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1.文献搜集</w:t>
            </w:r>
          </w:p>
          <w:p>
            <w:pPr>
              <w:jc w:val="left"/>
              <w:rPr>
                <w:color w:val="000000"/>
              </w:rPr>
            </w:pPr>
            <w:r>
              <w:rPr>
                <w:color w:val="000000"/>
              </w:rPr>
              <w:t>2.</w:t>
            </w:r>
            <w:r>
              <w:rPr>
                <w:rFonts w:hint="eastAsia"/>
                <w:color w:val="000000"/>
              </w:rPr>
              <w:t>案例搜集</w:t>
            </w:r>
          </w:p>
          <w:p>
            <w:pPr>
              <w:jc w:val="left"/>
              <w:rPr>
                <w:color w:val="000000"/>
              </w:rPr>
            </w:pPr>
            <w:r>
              <w:rPr>
                <w:color w:val="000000"/>
              </w:rPr>
              <w:t>3.发现问题</w:t>
            </w:r>
          </w:p>
          <w:p>
            <w:pPr>
              <w:jc w:val="left"/>
              <w:rPr>
                <w:color w:val="000000"/>
              </w:rPr>
            </w:pP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规范与日常行为</w:t>
            </w:r>
          </w:p>
          <w:p>
            <w:pPr>
              <w:jc w:val="left"/>
              <w:rPr>
                <w:color w:val="000000"/>
              </w:rPr>
            </w:pPr>
            <w:r>
              <w:rPr>
                <w:color w:val="000000"/>
              </w:rPr>
              <w:t>2.</w:t>
            </w:r>
            <w:r>
              <w:rPr>
                <w:rFonts w:hint="eastAsia"/>
                <w:color w:val="000000"/>
              </w:rPr>
              <w:t>宽容的养成</w:t>
            </w:r>
          </w:p>
          <w:p>
            <w:pPr>
              <w:jc w:val="left"/>
              <w:rPr>
                <w:color w:val="000000"/>
              </w:rPr>
            </w:pPr>
            <w:r>
              <w:rPr>
                <w:color w:val="000000"/>
              </w:rPr>
              <w:t>3.</w:t>
            </w:r>
            <w:r>
              <w:rPr>
                <w:rFonts w:hint="eastAsia"/>
                <w:color w:val="000000"/>
              </w:rPr>
              <w:t>公正的养成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305" w:type="dxa"/>
            <w:tcBorders>
              <w:top w:val="single" w:color="auto" w:sz="4" w:space="0"/>
              <w:left w:val="single" w:color="auto" w:sz="4" w:space="0"/>
              <w:right w:val="single" w:color="auto" w:sz="4" w:space="0"/>
            </w:tcBorders>
            <w:vAlign w:val="center"/>
          </w:tcPr>
          <w:p>
            <w:pPr>
              <w:autoSpaceDE w:val="0"/>
              <w:autoSpaceDN w:val="0"/>
              <w:adjustRightInd w:val="0"/>
              <w:spacing w:line="360" w:lineRule="exact"/>
              <w:rPr>
                <w:rFonts w:ascii="ˎ̥" w:hAnsi="ˎ̥"/>
                <w:color w:val="000000"/>
                <w:szCs w:val="21"/>
              </w:rPr>
            </w:pPr>
            <w:r>
              <w:rPr>
                <w:rFonts w:hint="eastAsia" w:ascii="ˎ̥" w:hAnsi="ˎ̥"/>
                <w:color w:val="000000"/>
                <w:szCs w:val="21"/>
              </w:rPr>
              <w:t>6</w:t>
            </w:r>
            <w:r>
              <w:rPr>
                <w:rFonts w:ascii="ˎ̥" w:hAnsi="ˎ̥"/>
                <w:color w:val="000000"/>
                <w:szCs w:val="21"/>
              </w:rPr>
              <w:t>.</w:t>
            </w:r>
            <w:r>
              <w:rPr>
                <w:rFonts w:hint="eastAsia" w:ascii="ˎ̥" w:hAnsi="ˎ̥"/>
                <w:color w:val="000000"/>
                <w:szCs w:val="21"/>
              </w:rPr>
              <w:t>巴蜀幼儿园教师专业伦理规范及其解读</w:t>
            </w:r>
          </w:p>
          <w:p>
            <w:pPr>
              <w:autoSpaceDE w:val="0"/>
              <w:autoSpaceDN w:val="0"/>
              <w:adjustRightInd w:val="0"/>
              <w:spacing w:line="360" w:lineRule="exact"/>
              <w:rPr>
                <w:rFonts w:ascii="ˎ̥" w:hAnsi="ˎ̥"/>
                <w:color w:val="000000"/>
                <w:szCs w:val="21"/>
              </w:rPr>
            </w:pPr>
            <w:r>
              <w:rPr>
                <w:rFonts w:hint="eastAsia" w:ascii="ˎ̥" w:hAnsi="ˎ̥"/>
                <w:color w:val="000000"/>
                <w:szCs w:val="21"/>
              </w:rPr>
              <w:t>（4课时）</w:t>
            </w:r>
          </w:p>
          <w:p>
            <w:pPr>
              <w:rPr>
                <w:rFonts w:ascii="ˎ̥" w:hAnsi="ˎ̥"/>
                <w:color w:val="000000"/>
                <w:szCs w:val="21"/>
              </w:rPr>
            </w:pPr>
          </w:p>
        </w:tc>
        <w:tc>
          <w:tcPr>
            <w:tcW w:w="2201" w:type="dxa"/>
            <w:tcBorders>
              <w:top w:val="single" w:color="auto" w:sz="4" w:space="0"/>
              <w:left w:val="single" w:color="auto" w:sz="4" w:space="0"/>
              <w:right w:val="single" w:color="auto" w:sz="4" w:space="0"/>
            </w:tcBorders>
            <w:vAlign w:val="center"/>
          </w:tcPr>
          <w:p>
            <w:pPr>
              <w:jc w:val="left"/>
              <w:rPr>
                <w:color w:val="000000"/>
              </w:rPr>
            </w:pPr>
            <w:r>
              <w:rPr>
                <w:rFonts w:hint="eastAsia"/>
                <w:color w:val="000000"/>
              </w:rPr>
              <w:t>1.教师对幼儿、家长、同事、管理者的专业伦理规范</w:t>
            </w:r>
          </w:p>
          <w:p>
            <w:pPr>
              <w:jc w:val="left"/>
              <w:rPr>
                <w:rFonts w:ascii="宋体" w:hAnsi="宋体"/>
                <w:color w:val="000000"/>
                <w:szCs w:val="21"/>
              </w:rPr>
            </w:pPr>
            <w:r>
              <w:rPr>
                <w:color w:val="000000"/>
              </w:rPr>
              <w:t>2.</w:t>
            </w:r>
            <w:r>
              <w:rPr>
                <w:rFonts w:hint="eastAsia"/>
                <w:color w:val="000000"/>
              </w:rPr>
              <w:t>管理者对部属的专业伦理规范</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1.文献搜集</w:t>
            </w:r>
          </w:p>
          <w:p>
            <w:pPr>
              <w:jc w:val="left"/>
              <w:rPr>
                <w:color w:val="000000"/>
              </w:rPr>
            </w:pPr>
            <w:r>
              <w:rPr>
                <w:color w:val="000000"/>
              </w:rPr>
              <w:t>2.案例搜集</w:t>
            </w:r>
          </w:p>
          <w:p>
            <w:pPr>
              <w:jc w:val="left"/>
              <w:rPr>
                <w:color w:val="000000"/>
              </w:rPr>
            </w:pPr>
            <w:r>
              <w:rPr>
                <w:color w:val="000000"/>
              </w:rPr>
              <w:t>3.发现问题</w:t>
            </w:r>
          </w:p>
          <w:p>
            <w:pPr>
              <w:jc w:val="left"/>
              <w:rPr>
                <w:color w:val="000000"/>
              </w:rPr>
            </w:pPr>
            <w:r>
              <w:rPr>
                <w:rFonts w:hint="eastAsia"/>
                <w:color w:val="000000"/>
              </w:rPr>
              <w:t>4</w:t>
            </w:r>
            <w:r>
              <w:rPr>
                <w:color w:val="000000"/>
              </w:rPr>
              <w:t>.</w:t>
            </w:r>
            <w:r>
              <w:rPr>
                <w:rFonts w:hint="eastAsia"/>
                <w:color w:val="000000"/>
              </w:rPr>
              <w:t>观点表达</w:t>
            </w: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color w:val="000000"/>
              </w:rPr>
              <w:t>1.</w:t>
            </w:r>
            <w:r>
              <w:rPr>
                <w:rFonts w:hint="eastAsia"/>
                <w:color w:val="000000"/>
              </w:rPr>
              <w:t>规范内化</w:t>
            </w:r>
          </w:p>
          <w:p>
            <w:pPr>
              <w:jc w:val="left"/>
              <w:rPr>
                <w:color w:val="000000"/>
              </w:rPr>
            </w:pPr>
            <w:r>
              <w:rPr>
                <w:color w:val="000000"/>
              </w:rPr>
              <w:t>2.</w:t>
            </w:r>
            <w:r>
              <w:rPr>
                <w:rFonts w:hint="eastAsia"/>
                <w:color w:val="000000"/>
              </w:rPr>
              <w:t>内化路径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305" w:type="dxa"/>
            <w:tcBorders>
              <w:left w:val="single" w:color="auto" w:sz="4" w:space="0"/>
              <w:bottom w:val="single" w:color="auto" w:sz="4" w:space="0"/>
              <w:right w:val="single" w:color="auto" w:sz="4" w:space="0"/>
            </w:tcBorders>
            <w:vAlign w:val="center"/>
          </w:tcPr>
          <w:p>
            <w:pPr>
              <w:rPr>
                <w:rFonts w:ascii="ˎ̥" w:hAnsi="ˎ̥"/>
                <w:color w:val="000000"/>
                <w:szCs w:val="21"/>
              </w:rPr>
            </w:pPr>
            <w:r>
              <w:rPr>
                <w:rFonts w:hint="eastAsia" w:ascii="ˎ̥" w:hAnsi="ˎ̥"/>
                <w:color w:val="000000"/>
                <w:szCs w:val="21"/>
              </w:rPr>
              <w:t>7</w:t>
            </w:r>
            <w:r>
              <w:rPr>
                <w:rFonts w:ascii="ˎ̥" w:hAnsi="ˎ̥"/>
                <w:color w:val="000000"/>
                <w:szCs w:val="21"/>
              </w:rPr>
              <w:t>.</w:t>
            </w:r>
            <w:r>
              <w:rPr>
                <w:rFonts w:hint="eastAsia" w:ascii="ˎ̥" w:hAnsi="ˎ̥"/>
                <w:color w:val="000000"/>
                <w:szCs w:val="21"/>
              </w:rPr>
              <w:t>幼儿园保教过程中的伦理案例与分析</w:t>
            </w:r>
          </w:p>
          <w:p>
            <w:pPr>
              <w:rPr>
                <w:rFonts w:ascii="ˎ̥" w:hAnsi="ˎ̥"/>
                <w:color w:val="000000"/>
                <w:szCs w:val="21"/>
              </w:rPr>
            </w:pPr>
            <w:r>
              <w:rPr>
                <w:rFonts w:hint="eastAsia" w:ascii="ˎ̥" w:hAnsi="ˎ̥"/>
                <w:color w:val="000000"/>
                <w:szCs w:val="21"/>
              </w:rPr>
              <w:t>（2课时）</w:t>
            </w:r>
          </w:p>
        </w:tc>
        <w:tc>
          <w:tcPr>
            <w:tcW w:w="2201" w:type="dxa"/>
            <w:tcBorders>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识别保教过程中伦理两难案例</w:t>
            </w:r>
          </w:p>
          <w:p>
            <w:pPr>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撰写两难案例的应对方案</w:t>
            </w:r>
          </w:p>
        </w:tc>
        <w:tc>
          <w:tcPr>
            <w:tcW w:w="2383"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1</w:t>
            </w:r>
            <w:r>
              <w:rPr>
                <w:color w:val="000000"/>
              </w:rPr>
              <w:t>.</w:t>
            </w:r>
            <w:r>
              <w:rPr>
                <w:rFonts w:hint="eastAsia"/>
                <w:color w:val="000000"/>
              </w:rPr>
              <w:t>翻转课堂</w:t>
            </w:r>
          </w:p>
          <w:p>
            <w:pPr>
              <w:jc w:val="left"/>
              <w:rPr>
                <w:color w:val="000000"/>
              </w:rPr>
            </w:pPr>
            <w:r>
              <w:rPr>
                <w:rFonts w:hint="eastAsia"/>
                <w:color w:val="000000"/>
              </w:rPr>
              <w:t>2</w:t>
            </w:r>
            <w:r>
              <w:rPr>
                <w:color w:val="000000"/>
              </w:rPr>
              <w:t>.</w:t>
            </w:r>
            <w:r>
              <w:rPr>
                <w:rFonts w:hint="eastAsia"/>
                <w:color w:val="000000"/>
              </w:rPr>
              <w:t>案例分析法</w:t>
            </w:r>
          </w:p>
          <w:p>
            <w:pPr>
              <w:jc w:val="left"/>
              <w:rPr>
                <w:color w:val="000000"/>
              </w:rPr>
            </w:pPr>
            <w:r>
              <w:rPr>
                <w:rFonts w:hint="eastAsia"/>
                <w:color w:val="000000"/>
              </w:rPr>
              <w:t>3</w:t>
            </w:r>
            <w:r>
              <w:rPr>
                <w:color w:val="000000"/>
              </w:rPr>
              <w:t>.</w:t>
            </w:r>
            <w:r>
              <w:rPr>
                <w:rFonts w:hint="eastAsia"/>
                <w:color w:val="000000"/>
              </w:rPr>
              <w:t>讨论法</w:t>
            </w:r>
          </w:p>
        </w:tc>
        <w:tc>
          <w:tcPr>
            <w:tcW w:w="2196"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1</w:t>
            </w:r>
            <w:r>
              <w:rPr>
                <w:color w:val="000000"/>
              </w:rPr>
              <w:t>.</w:t>
            </w:r>
            <w:r>
              <w:rPr>
                <w:rFonts w:hint="eastAsia"/>
                <w:color w:val="000000"/>
              </w:rPr>
              <w:t>撰写案例</w:t>
            </w:r>
          </w:p>
          <w:p>
            <w:pPr>
              <w:jc w:val="left"/>
              <w:rPr>
                <w:color w:val="000000"/>
              </w:rPr>
            </w:pPr>
            <w:r>
              <w:rPr>
                <w:rFonts w:hint="eastAsia"/>
                <w:color w:val="000000"/>
              </w:rPr>
              <w:t>2</w:t>
            </w:r>
            <w:r>
              <w:rPr>
                <w:color w:val="000000"/>
              </w:rPr>
              <w:t>.</w:t>
            </w:r>
            <w:r>
              <w:rPr>
                <w:rFonts w:hint="eastAsia"/>
                <w:color w:val="000000"/>
              </w:rPr>
              <w:t>分享汇报</w:t>
            </w:r>
          </w:p>
        </w:tc>
      </w:tr>
    </w:tbl>
    <w:p>
      <w:pPr>
        <w:snapToGrid w:val="0"/>
        <w:spacing w:line="288" w:lineRule="auto"/>
        <w:rPr>
          <w:rFonts w:ascii="宋体" w:hAnsi="宋体"/>
          <w:sz w:val="20"/>
          <w:szCs w:val="20"/>
        </w:rPr>
      </w:pPr>
    </w:p>
    <w:p>
      <w:pPr>
        <w:pStyle w:val="7"/>
        <w:jc w:val="left"/>
        <w:rPr>
          <w:rFonts w:ascii="黑体" w:hAnsi="宋体" w:eastAsia="黑体"/>
          <w:sz w:val="24"/>
        </w:rPr>
      </w:pPr>
      <w:r>
        <w:rPr>
          <w:rFonts w:hint="eastAsia" w:ascii="黑体" w:hAnsi="宋体" w:eastAsia="黑体"/>
          <w:sz w:val="24"/>
        </w:rPr>
        <w:t>七、课内实验名称及基本要求（选填，适用于课内实验）</w:t>
      </w:r>
    </w:p>
    <w:p/>
    <w:p>
      <w:pPr>
        <w:snapToGrid w:val="0"/>
        <w:spacing w:line="288" w:lineRule="auto"/>
        <w:ind w:right="26" w:firstLine="480" w:firstLineChars="200"/>
        <w:rPr>
          <w:rFonts w:ascii="黑体" w:hAnsi="宋体" w:eastAsia="黑体"/>
          <w:sz w:val="24"/>
        </w:rPr>
      </w:pPr>
      <w:r>
        <w:rPr>
          <w:rFonts w:hint="eastAsia" w:ascii="黑体" w:hAnsi="宋体" w:eastAsia="黑体"/>
          <w:sz w:val="24"/>
        </w:rPr>
        <w:t>列出课程实验的名称、学时数、实验类型（演示型、验证型、设计型、综合型）及每个实验的内容简述。</w:t>
      </w:r>
    </w:p>
    <w:tbl>
      <w:tblPr>
        <w:tblStyle w:val="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实验</w:t>
            </w:r>
          </w:p>
          <w:p>
            <w:pPr>
              <w:snapToGrid w:val="0"/>
              <w:spacing w:line="288" w:lineRule="auto"/>
              <w:ind w:right="26" w:firstLine="480" w:firstLineChars="200"/>
              <w:rPr>
                <w:rFonts w:ascii="黑体" w:hAnsi="宋体" w:eastAsia="黑体"/>
                <w:sz w:val="24"/>
              </w:rPr>
            </w:pPr>
            <w:r>
              <w:rPr>
                <w:rFonts w:hint="eastAsia" w:ascii="黑体" w:hAnsi="宋体" w:eastAsia="黑体"/>
                <w:sz w:val="24"/>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71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71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71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71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71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bl>
    <w:p>
      <w:pPr>
        <w:snapToGrid w:val="0"/>
        <w:spacing w:line="288" w:lineRule="auto"/>
        <w:ind w:right="26"/>
        <w:rPr>
          <w:rFonts w:ascii="黑体" w:hAnsi="宋体" w:eastAsia="黑体"/>
          <w:sz w:val="24"/>
        </w:rPr>
      </w:pPr>
    </w:p>
    <w:p>
      <w:pPr>
        <w:snapToGrid w:val="0"/>
        <w:spacing w:line="288" w:lineRule="auto"/>
        <w:ind w:right="26" w:firstLine="480" w:firstLineChars="200"/>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80" w:firstLineChars="200"/>
        <w:rPr>
          <w:rFonts w:ascii="黑体" w:hAnsi="宋体" w:eastAsia="黑体"/>
          <w:sz w:val="24"/>
        </w:rPr>
      </w:pPr>
      <w:r>
        <w:rPr>
          <w:rFonts w:hint="eastAsia" w:ascii="黑体" w:hAnsi="宋体" w:eastAsia="黑体"/>
          <w:sz w:val="24"/>
        </w:rPr>
        <w:t>列出实践环节各阶段的名称、实践的天数或周数及每个阶段的内容简述。</w:t>
      </w:r>
    </w:p>
    <w:tbl>
      <w:tblPr>
        <w:tblStyle w:val="9"/>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r>
              <w:rPr>
                <w:rFonts w:hint="eastAsia" w:ascii="黑体" w:hAnsi="宋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12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12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12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12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12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p>
            <w:pPr>
              <w:snapToGrid w:val="0"/>
              <w:spacing w:line="288" w:lineRule="auto"/>
              <w:ind w:right="26" w:firstLine="480" w:firstLineChars="200"/>
              <w:rPr>
                <w:rFonts w:ascii="黑体" w:hAnsi="宋体" w:eastAsia="黑体"/>
                <w:sz w:val="24"/>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c>
          <w:tcPr>
            <w:tcW w:w="1125" w:type="dxa"/>
            <w:tcBorders>
              <w:left w:val="single" w:color="auto" w:sz="4" w:space="0"/>
              <w:right w:val="single" w:color="auto" w:sz="4" w:space="0"/>
            </w:tcBorders>
            <w:shd w:val="clear" w:color="auto" w:fill="auto"/>
            <w:vAlign w:val="center"/>
          </w:tcPr>
          <w:p>
            <w:pPr>
              <w:snapToGrid w:val="0"/>
              <w:spacing w:line="288" w:lineRule="auto"/>
              <w:ind w:right="26" w:firstLine="480" w:firstLineChars="200"/>
              <w:rPr>
                <w:rFonts w:ascii="黑体" w:hAnsi="宋体" w:eastAsia="黑体"/>
                <w:sz w:val="24"/>
              </w:rPr>
            </w:pPr>
          </w:p>
        </w:tc>
      </w:tr>
    </w:tbl>
    <w:p>
      <w:pPr>
        <w:pStyle w:val="7"/>
        <w:jc w:val="left"/>
        <w:rPr>
          <w:rFonts w:ascii="黑体" w:hAnsi="宋体" w:eastAsia="黑体"/>
          <w:sz w:val="24"/>
        </w:rPr>
      </w:pPr>
    </w:p>
    <w:p/>
    <w:p>
      <w:pPr>
        <w:pStyle w:val="7"/>
        <w:jc w:val="left"/>
        <w:rPr>
          <w:rFonts w:ascii="黑体" w:hAnsi="宋体" w:eastAsia="黑体"/>
          <w:sz w:val="24"/>
        </w:rPr>
      </w:pPr>
      <w:r>
        <w:rPr>
          <w:rFonts w:hint="eastAsia" w:ascii="黑体" w:hAnsi="宋体" w:eastAsia="黑体"/>
          <w:sz w:val="24"/>
        </w:rPr>
        <w:t>八、评价方式与成绩</w:t>
      </w:r>
    </w:p>
    <w:tbl>
      <w:tblPr>
        <w:tblStyle w:val="9"/>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ascii="宋体" w:hAnsi="宋体"/>
                <w:bCs/>
                <w:color w:val="000000"/>
                <w:szCs w:val="20"/>
              </w:rPr>
              <w:t>4</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课程出勤</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问题提出与观点表达</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案例搜集与分析</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ascii="宋体" w:hAnsi="宋体"/>
                <w:bCs/>
                <w:color w:val="000000"/>
                <w:szCs w:val="20"/>
              </w:rPr>
              <w:t>25</w:t>
            </w:r>
            <w:r>
              <w:rPr>
                <w:rFonts w:hint="eastAsia" w:ascii="宋体" w:hAnsi="宋体"/>
                <w:bCs/>
                <w:color w:val="000000"/>
                <w:szCs w:val="20"/>
              </w:rPr>
              <w:t>%</w:t>
            </w:r>
          </w:p>
        </w:tc>
      </w:tr>
    </w:tbl>
    <w:p>
      <w:pPr>
        <w:snapToGrid w:val="0"/>
        <w:spacing w:line="360" w:lineRule="auto"/>
        <w:rPr>
          <w:rFonts w:hint="eastAsia"/>
          <w:sz w:val="28"/>
          <w:szCs w:val="28"/>
        </w:rPr>
      </w:pPr>
    </w:p>
    <w:p>
      <w:pPr>
        <w:snapToGrid w:val="0"/>
        <w:spacing w:line="360" w:lineRule="auto"/>
        <w:rPr>
          <w:rFonts w:hint="eastAsia"/>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2621280</wp:posOffset>
            </wp:positionH>
            <wp:positionV relativeFrom="paragraph">
              <wp:posOffset>211455</wp:posOffset>
            </wp:positionV>
            <wp:extent cx="929640" cy="585470"/>
            <wp:effectExtent l="0" t="0" r="3810" b="5080"/>
            <wp:wrapSquare wrapText="bothSides"/>
            <wp:docPr id="1" name="图片 1" descr="步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步老师签名"/>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29640" cy="585470"/>
                    </a:xfrm>
                    <a:prstGeom prst="rect">
                      <a:avLst/>
                    </a:prstGeom>
                  </pic:spPr>
                </pic:pic>
              </a:graphicData>
            </a:graphic>
          </wp:anchor>
        </w:drawing>
      </w:r>
    </w:p>
    <w:p>
      <w:pPr>
        <w:snapToGrid w:val="0"/>
        <w:spacing w:line="360" w:lineRule="auto"/>
        <w:rPr>
          <w:rFonts w:hint="eastAsia" w:ascii="Times New Roman" w:hAnsi="Times New Roman" w:eastAsia="宋体"/>
          <w:b/>
          <w:bCs/>
          <w:sz w:val="20"/>
          <w:szCs w:val="20"/>
          <w:lang w:val="en-US" w:eastAsia="zh-CN"/>
        </w:rPr>
      </w:pPr>
      <w:r>
        <w:rPr>
          <w:rFonts w:hint="eastAsia"/>
          <w:sz w:val="28"/>
          <w:szCs w:val="28"/>
        </w:rPr>
        <w:t>撰写人：</w:t>
      </w:r>
      <w:r>
        <w:rPr>
          <w:rFonts w:hint="eastAsia"/>
          <w:sz w:val="28"/>
          <w:szCs w:val="28"/>
          <w:lang w:val="en-US" w:eastAsia="zh-CN"/>
        </w:rPr>
        <w:t>黄艳</w:t>
      </w:r>
      <w:r>
        <w:rPr>
          <w:sz w:val="28"/>
          <w:szCs w:val="28"/>
        </w:rPr>
        <w:t xml:space="preserve">  </w:t>
      </w:r>
      <w:r>
        <w:rPr>
          <w:rFonts w:hint="eastAsia"/>
          <w:sz w:val="28"/>
          <w:szCs w:val="28"/>
        </w:rPr>
        <w:t>系主任审核签名：</w:t>
      </w:r>
      <w:r>
        <w:rPr>
          <w:sz w:val="28"/>
          <w:szCs w:val="28"/>
        </w:rPr>
        <w:t xml:space="preserve">    </w:t>
      </w:r>
      <w:r>
        <w:rPr>
          <w:rFonts w:hint="eastAsia"/>
          <w:sz w:val="28"/>
          <w:szCs w:val="28"/>
        </w:rPr>
        <w:t>审核时间：20</w:t>
      </w:r>
      <w:r>
        <w:rPr>
          <w:sz w:val="28"/>
          <w:szCs w:val="28"/>
        </w:rPr>
        <w:t>23</w:t>
      </w:r>
      <w:r>
        <w:rPr>
          <w:rFonts w:hint="eastAsia"/>
          <w:sz w:val="28"/>
          <w:szCs w:val="28"/>
        </w:rPr>
        <w:t>-</w:t>
      </w:r>
      <w:r>
        <w:rPr>
          <w:rFonts w:hint="eastAsia"/>
          <w:sz w:val="28"/>
          <w:szCs w:val="28"/>
          <w:lang w:val="en-US" w:eastAsia="zh-CN"/>
        </w:rPr>
        <w:t>9</w:t>
      </w:r>
      <w:r>
        <w:rPr>
          <w:rFonts w:hint="eastAsia"/>
          <w:sz w:val="28"/>
          <w:szCs w:val="28"/>
        </w:rPr>
        <w:t>-</w:t>
      </w:r>
      <w:r>
        <w:rPr>
          <w:sz w:val="28"/>
          <w:szCs w:val="28"/>
        </w:rPr>
        <w:t>1</w:t>
      </w:r>
      <w:r>
        <w:rPr>
          <w:rFonts w:hint="eastAsia"/>
          <w:sz w:val="28"/>
          <w:szCs w:val="28"/>
          <w:lang w:val="en-US" w:eastAsia="zh-CN"/>
        </w:rPr>
        <w:t>4</w:t>
      </w:r>
      <w:bookmarkStart w:id="1" w:name="_GoBack"/>
      <w:bookmarkEnd w:id="1"/>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r>
      <w:rPr>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wLstC2QAAAAcBAAAPAAAAAAAAAAEAIAAAACIAAABkcnMv&#10;ZG93bnJldi54bWxQSwECFAAUAAAACACHTuJAHEwpknQCAADbBAAADgAAAAAAAAABACAAAAAoAQAA&#10;ZHJzL2Uyb0RvYy54bWxQSwUGAAAAAAYABgBZAQAADgYAAAAA&#10;">
              <v:fill on="f" focussize="0,0"/>
              <v:stroke weight="1.25pt" color="#948A54 [1614]" joinstyle="round"/>
              <v:imagedata o:title=""/>
              <o:lock v:ext="edit" aspectratio="f"/>
            </v:rect>
          </w:pict>
        </mc:Fallback>
      </mc:AlternateContent>
    </w:r>
  </w:p>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pPr>
      <w:pStyle w:val="6"/>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MTkwNDVjMTQyN2U4ZTNmM2Y3YmU1MTE1MjRlZWEifQ=="/>
  </w:docVars>
  <w:rsids>
    <w:rsidRoot w:val="00A60074"/>
    <w:rsid w:val="00027F8F"/>
    <w:rsid w:val="00070648"/>
    <w:rsid w:val="00071072"/>
    <w:rsid w:val="000E0BAD"/>
    <w:rsid w:val="00361474"/>
    <w:rsid w:val="003B7CE4"/>
    <w:rsid w:val="004C3CD8"/>
    <w:rsid w:val="004D40C1"/>
    <w:rsid w:val="0050293E"/>
    <w:rsid w:val="00513DDE"/>
    <w:rsid w:val="0053628D"/>
    <w:rsid w:val="00617662"/>
    <w:rsid w:val="006F7A0F"/>
    <w:rsid w:val="007346D9"/>
    <w:rsid w:val="007B028C"/>
    <w:rsid w:val="007E0205"/>
    <w:rsid w:val="00872FFC"/>
    <w:rsid w:val="008C3C64"/>
    <w:rsid w:val="00976240"/>
    <w:rsid w:val="009B6B9C"/>
    <w:rsid w:val="00A0707E"/>
    <w:rsid w:val="00A4793C"/>
    <w:rsid w:val="00A60074"/>
    <w:rsid w:val="00B67D16"/>
    <w:rsid w:val="00BB7899"/>
    <w:rsid w:val="00BC2C3D"/>
    <w:rsid w:val="00C317EE"/>
    <w:rsid w:val="00C91CD1"/>
    <w:rsid w:val="00D75BF1"/>
    <w:rsid w:val="00DD3999"/>
    <w:rsid w:val="00E868E8"/>
    <w:rsid w:val="00F41433"/>
    <w:rsid w:val="00F82AAE"/>
    <w:rsid w:val="00FB1C41"/>
    <w:rsid w:val="1B93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1"/>
    <w:pPr>
      <w:autoSpaceDE w:val="0"/>
      <w:autoSpaceDN w:val="0"/>
      <w:spacing w:before="210"/>
      <w:ind w:left="499"/>
      <w:jc w:val="left"/>
      <w:outlineLvl w:val="0"/>
    </w:pPr>
    <w:rPr>
      <w:rFonts w:ascii="微软雅黑" w:hAnsi="微软雅黑" w:eastAsia="微软雅黑" w:cs="微软雅黑"/>
      <w:b/>
      <w:bCs/>
      <w:kern w:val="0"/>
      <w:sz w:val="24"/>
      <w:szCs w:val="24"/>
      <w:lang w:eastAsia="en-US"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uiPriority w:val="99"/>
    <w:pPr>
      <w:jc w:val="left"/>
    </w:pPr>
  </w:style>
  <w:style w:type="paragraph" w:styleId="4">
    <w:name w:val="Body Text"/>
    <w:basedOn w:val="1"/>
    <w:link w:val="17"/>
    <w:qFormat/>
    <w:uiPriority w:val="1"/>
    <w:pPr>
      <w:autoSpaceDE w:val="0"/>
      <w:autoSpaceDN w:val="0"/>
      <w:jc w:val="left"/>
    </w:pPr>
    <w:rPr>
      <w:rFonts w:ascii="Arial Unicode MS" w:hAnsi="Arial Unicode MS" w:eastAsia="Arial Unicode MS" w:cs="Arial Unicode MS"/>
      <w:kern w:val="0"/>
      <w:sz w:val="22"/>
      <w:lang w:eastAsia="en-US" w:bidi="en-US"/>
    </w:rPr>
  </w:style>
  <w:style w:type="paragraph" w:styleId="5">
    <w:name w:val="footer"/>
    <w:basedOn w:val="1"/>
    <w:link w:val="20"/>
    <w:unhideWhenUsed/>
    <w:uiPriority w:val="99"/>
    <w:pPr>
      <w:tabs>
        <w:tab w:val="center" w:pos="4153"/>
        <w:tab w:val="right" w:pos="8306"/>
      </w:tabs>
      <w:autoSpaceDE w:val="0"/>
      <w:autoSpaceDN w:val="0"/>
      <w:snapToGrid w:val="0"/>
      <w:jc w:val="left"/>
    </w:pPr>
    <w:rPr>
      <w:rFonts w:ascii="Arial Unicode MS" w:hAnsi="Arial Unicode MS" w:eastAsia="Arial Unicode MS" w:cs="Arial Unicode MS"/>
      <w:kern w:val="0"/>
      <w:sz w:val="18"/>
      <w:szCs w:val="18"/>
      <w:lang w:eastAsia="en-US" w:bidi="en-US"/>
    </w:rPr>
  </w:style>
  <w:style w:type="paragraph" w:styleId="6">
    <w:name w:val="header"/>
    <w:basedOn w:val="1"/>
    <w:link w:val="19"/>
    <w:unhideWhenUsed/>
    <w:uiPriority w:val="99"/>
    <w:pPr>
      <w:pBdr>
        <w:bottom w:val="single" w:color="auto" w:sz="6" w:space="1"/>
      </w:pBdr>
      <w:tabs>
        <w:tab w:val="center" w:pos="4153"/>
        <w:tab w:val="right" w:pos="8306"/>
      </w:tabs>
      <w:autoSpaceDE w:val="0"/>
      <w:autoSpaceDN w:val="0"/>
      <w:snapToGrid w:val="0"/>
      <w:jc w:val="center"/>
    </w:pPr>
    <w:rPr>
      <w:rFonts w:ascii="Arial Unicode MS" w:hAnsi="Arial Unicode MS" w:eastAsia="Arial Unicode MS" w:cs="Arial Unicode MS"/>
      <w:kern w:val="0"/>
      <w:sz w:val="18"/>
      <w:szCs w:val="18"/>
      <w:lang w:eastAsia="en-US" w:bidi="en-US"/>
    </w:rPr>
  </w:style>
  <w:style w:type="paragraph" w:styleId="7">
    <w:name w:val="Title"/>
    <w:basedOn w:val="1"/>
    <w:next w:val="1"/>
    <w:link w:val="21"/>
    <w:qFormat/>
    <w:uiPriority w:val="0"/>
    <w:pPr>
      <w:spacing w:line="440" w:lineRule="exact"/>
      <w:jc w:val="center"/>
      <w:outlineLvl w:val="0"/>
    </w:pPr>
    <w:rPr>
      <w:rFonts w:ascii="Cambria" w:hAnsi="Cambria"/>
      <w:b/>
      <w:bCs/>
      <w:sz w:val="28"/>
      <w:szCs w:val="32"/>
    </w:rPr>
  </w:style>
  <w:style w:type="paragraph" w:styleId="8">
    <w:name w:val="annotation subject"/>
    <w:basedOn w:val="3"/>
    <w:next w:val="3"/>
    <w:link w:val="26"/>
    <w:semiHidden/>
    <w:unhideWhenUsed/>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uiPriority w:val="99"/>
    <w:rPr>
      <w:color w:val="800080" w:themeColor="followedHyperlink"/>
      <w:u w:val="single"/>
      <w14:textFill>
        <w14:solidFill>
          <w14:schemeClr w14:val="folHlink"/>
        </w14:solidFill>
      </w14:textFill>
    </w:rPr>
  </w:style>
  <w:style w:type="character" w:styleId="13">
    <w:name w:val="Hyperlink"/>
    <w:uiPriority w:val="99"/>
    <w:rPr>
      <w:color w:val="0000FF"/>
      <w:u w:val="single"/>
    </w:rPr>
  </w:style>
  <w:style w:type="character" w:styleId="14">
    <w:name w:val="annotation reference"/>
    <w:basedOn w:val="11"/>
    <w:semiHidden/>
    <w:unhideWhenUsed/>
    <w:uiPriority w:val="99"/>
    <w:rPr>
      <w:sz w:val="21"/>
      <w:szCs w:val="21"/>
    </w:rPr>
  </w:style>
  <w:style w:type="paragraph" w:customStyle="1" w:styleId="15">
    <w:name w:val="Table Paragraph"/>
    <w:basedOn w:val="1"/>
    <w:qFormat/>
    <w:uiPriority w:val="1"/>
    <w:pPr>
      <w:autoSpaceDE w:val="0"/>
      <w:autoSpaceDN w:val="0"/>
      <w:jc w:val="left"/>
    </w:pPr>
    <w:rPr>
      <w:rFonts w:ascii="微软雅黑" w:hAnsi="微软雅黑" w:eastAsia="微软雅黑" w:cs="微软雅黑"/>
      <w:kern w:val="0"/>
      <w:sz w:val="22"/>
      <w:lang w:eastAsia="en-US" w:bidi="en-US"/>
    </w:rPr>
  </w:style>
  <w:style w:type="character" w:customStyle="1" w:styleId="16">
    <w:name w:val="标题 1 字符"/>
    <w:basedOn w:val="11"/>
    <w:link w:val="2"/>
    <w:uiPriority w:val="1"/>
    <w:rPr>
      <w:rFonts w:ascii="微软雅黑" w:hAnsi="微软雅黑" w:eastAsia="微软雅黑" w:cs="微软雅黑"/>
      <w:b/>
      <w:bCs/>
      <w:sz w:val="24"/>
      <w:szCs w:val="24"/>
      <w:lang w:eastAsia="en-US" w:bidi="en-US"/>
    </w:rPr>
  </w:style>
  <w:style w:type="character" w:customStyle="1" w:styleId="17">
    <w:name w:val="正文文本 字符"/>
    <w:basedOn w:val="11"/>
    <w:link w:val="4"/>
    <w:qFormat/>
    <w:uiPriority w:val="1"/>
    <w:rPr>
      <w:rFonts w:ascii="Arial Unicode MS" w:hAnsi="Arial Unicode MS" w:eastAsia="Arial Unicode MS" w:cs="Arial Unicode MS"/>
      <w:sz w:val="22"/>
      <w:szCs w:val="22"/>
      <w:lang w:eastAsia="en-US" w:bidi="en-US"/>
    </w:rPr>
  </w:style>
  <w:style w:type="paragraph" w:styleId="18">
    <w:name w:val="List Paragraph"/>
    <w:basedOn w:val="1"/>
    <w:qFormat/>
    <w:uiPriority w:val="1"/>
    <w:pPr>
      <w:autoSpaceDE w:val="0"/>
      <w:autoSpaceDN w:val="0"/>
      <w:ind w:left="549"/>
      <w:jc w:val="left"/>
    </w:pPr>
    <w:rPr>
      <w:rFonts w:ascii="Arial Unicode MS" w:hAnsi="Arial Unicode MS" w:eastAsia="Arial Unicode MS" w:cs="Arial Unicode MS"/>
      <w:kern w:val="0"/>
      <w:sz w:val="22"/>
      <w:lang w:eastAsia="en-US" w:bidi="en-US"/>
    </w:rPr>
  </w:style>
  <w:style w:type="character" w:customStyle="1" w:styleId="19">
    <w:name w:val="页眉 字符"/>
    <w:basedOn w:val="11"/>
    <w:link w:val="6"/>
    <w:uiPriority w:val="99"/>
    <w:rPr>
      <w:rFonts w:ascii="Arial Unicode MS" w:hAnsi="Arial Unicode MS" w:eastAsia="Arial Unicode MS" w:cs="Arial Unicode MS"/>
      <w:sz w:val="18"/>
      <w:szCs w:val="18"/>
      <w:lang w:eastAsia="en-US" w:bidi="en-US"/>
    </w:rPr>
  </w:style>
  <w:style w:type="character" w:customStyle="1" w:styleId="20">
    <w:name w:val="页脚 字符"/>
    <w:basedOn w:val="11"/>
    <w:link w:val="5"/>
    <w:uiPriority w:val="99"/>
    <w:rPr>
      <w:rFonts w:ascii="Arial Unicode MS" w:hAnsi="Arial Unicode MS" w:eastAsia="Arial Unicode MS" w:cs="Arial Unicode MS"/>
      <w:sz w:val="18"/>
      <w:szCs w:val="18"/>
      <w:lang w:eastAsia="en-US" w:bidi="en-US"/>
    </w:rPr>
  </w:style>
  <w:style w:type="character" w:customStyle="1" w:styleId="21">
    <w:name w:val="标题 字符"/>
    <w:link w:val="7"/>
    <w:uiPriority w:val="0"/>
    <w:rPr>
      <w:rFonts w:ascii="Cambria" w:hAnsi="Cambria"/>
      <w:b/>
      <w:bCs/>
      <w:kern w:val="2"/>
      <w:sz w:val="28"/>
      <w:szCs w:val="32"/>
    </w:rPr>
  </w:style>
  <w:style w:type="character" w:customStyle="1" w:styleId="22">
    <w:name w:val="标题 字符1"/>
    <w:basedOn w:val="11"/>
    <w:uiPriority w:val="0"/>
    <w:rPr>
      <w:rFonts w:asciiTheme="majorHAnsi" w:hAnsiTheme="majorHAnsi" w:eastAsiaTheme="majorEastAsia" w:cstheme="majorBidi"/>
      <w:b/>
      <w:bCs/>
      <w:kern w:val="2"/>
      <w:sz w:val="32"/>
      <w:szCs w:val="32"/>
    </w:rPr>
  </w:style>
  <w:style w:type="paragraph" w:customStyle="1" w:styleId="23">
    <w:name w:val="大纲课程名"/>
    <w:basedOn w:val="1"/>
    <w:link w:val="24"/>
    <w:qFormat/>
    <w:uiPriority w:val="0"/>
    <w:pPr>
      <w:spacing w:before="156" w:beforeLines="50" w:line="440" w:lineRule="exact"/>
      <w:jc w:val="center"/>
      <w:outlineLvl w:val="0"/>
    </w:pPr>
    <w:rPr>
      <w:b/>
      <w:kern w:val="0"/>
      <w:sz w:val="28"/>
      <w:szCs w:val="20"/>
    </w:rPr>
  </w:style>
  <w:style w:type="character" w:customStyle="1" w:styleId="24">
    <w:name w:val="大纲课程名 Char"/>
    <w:basedOn w:val="11"/>
    <w:link w:val="23"/>
    <w:uiPriority w:val="0"/>
    <w:rPr>
      <w:rFonts w:ascii="Calibri" w:hAnsi="Calibri"/>
      <w:b/>
      <w:sz w:val="28"/>
    </w:rPr>
  </w:style>
  <w:style w:type="character" w:customStyle="1" w:styleId="25">
    <w:name w:val="批注文字 字符"/>
    <w:basedOn w:val="11"/>
    <w:link w:val="3"/>
    <w:semiHidden/>
    <w:uiPriority w:val="99"/>
    <w:rPr>
      <w:rFonts w:ascii="Calibri" w:hAnsi="Calibri"/>
      <w:kern w:val="2"/>
      <w:sz w:val="21"/>
      <w:szCs w:val="22"/>
    </w:rPr>
  </w:style>
  <w:style w:type="character" w:customStyle="1" w:styleId="26">
    <w:name w:val="批注主题 字符"/>
    <w:basedOn w:val="25"/>
    <w:link w:val="8"/>
    <w:semiHidden/>
    <w:uiPriority w:val="99"/>
    <w:rPr>
      <w:rFonts w:ascii="Calibri" w:hAnsi="Calibri"/>
      <w:b/>
      <w:bCs/>
      <w:kern w:val="2"/>
      <w:sz w:val="21"/>
      <w:szCs w:val="22"/>
    </w:rPr>
  </w:style>
  <w:style w:type="character" w:customStyle="1" w:styleId="27">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581</Words>
  <Characters>3312</Characters>
  <Lines>27</Lines>
  <Paragraphs>7</Paragraphs>
  <TotalTime>0</TotalTime>
  <ScaleCrop>false</ScaleCrop>
  <LinksUpToDate>false</LinksUpToDate>
  <CharactersWithSpaces>3886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2021-12-21T01:40:00Z</dcterms:created>
  <dc:creator>杨 洁</dc:creator>
  <cp:lastModifiedBy>黄艳</cp:lastModifiedBy>
  <cp:lastPrinted>2022-03-07T04:09:00Z</cp:lastPrinted>
  <dcterms:modified xsi:type="dcterms:W3CDTF">2023-09-13T00:15:59Z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1378AAE2BEC94B65B412F5C09F0D926F_12</vt:lpwstr>
  </property>
</Properties>
</file>