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en-US" w:eastAsia="zh-CN"/>
        </w:rPr>
        <w:t>智慧对对碰1</w:t>
      </w:r>
      <w:r>
        <w:rPr>
          <w:rFonts w:hint="eastAsia" w:asciiTheme="majorEastAsia" w:hAnsiTheme="majorEastAsia" w:eastAsiaTheme="majorEastAsia" w:cstheme="majorEastAsia"/>
          <w:b/>
          <w:sz w:val="28"/>
          <w:szCs w:val="28"/>
        </w:rPr>
        <w:t>】</w:t>
      </w:r>
    </w:p>
    <w:p>
      <w:pPr>
        <w:shd w:val="clear" w:color="auto" w:fill="F5F5F5"/>
        <w:jc w:val="center"/>
        <w:textAlignment w:val="top"/>
        <w:rPr>
          <w:rFonts w:hint="default" w:ascii="Times New Roman" w:hAnsi="Times New Roman" w:cs="Times New Roman"/>
          <w:color w:val="888888"/>
          <w:kern w:val="0"/>
          <w:sz w:val="28"/>
          <w:szCs w:val="28"/>
        </w:rPr>
      </w:pPr>
      <w:r>
        <w:rPr>
          <w:rFonts w:hint="default" w:ascii="Times New Roman" w:hAnsi="Times New Roman" w:cs="Times New Roman"/>
          <w:b/>
          <w:sz w:val="28"/>
          <w:szCs w:val="28"/>
        </w:rPr>
        <w:t>【Wisdome meets, when wisdome meets</w:t>
      </w:r>
      <w:r>
        <w:rPr>
          <w:rFonts w:hint="default" w:ascii="Times New Roman" w:hAnsi="Times New Roman" w:cs="Times New Roman"/>
          <w:b/>
          <w:sz w:val="28"/>
          <w:szCs w:val="28"/>
          <w:lang w:val="en-US" w:eastAsia="zh-CN"/>
        </w:rPr>
        <w:t xml:space="preserve"> 1</w:t>
      </w:r>
      <w:r>
        <w:rPr>
          <w:rFonts w:hint="default" w:ascii="Times New Roman" w:hAnsi="Times New Roman" w:cs="Times New Roman"/>
          <w:b/>
          <w:sz w:val="28"/>
          <w:szCs w:val="28"/>
        </w:rPr>
        <w:t>】</w:t>
      </w:r>
      <w:bookmarkStart w:id="0" w:name="a2"/>
      <w:bookmarkEnd w:id="0"/>
    </w:p>
    <w:p>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2135050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pPr>
        <w:snapToGrid w:val="0"/>
        <w:spacing w:line="288" w:lineRule="auto"/>
        <w:ind w:left="801" w:leftChars="190" w:hanging="402" w:hangingChars="200"/>
        <w:rPr>
          <w:b/>
          <w:bCs/>
          <w:color w:val="000000"/>
          <w:sz w:val="20"/>
          <w:szCs w:val="20"/>
        </w:rPr>
      </w:pPr>
      <w:r>
        <w:rPr>
          <w:b/>
          <w:bCs/>
          <w:color w:val="000000"/>
          <w:sz w:val="20"/>
          <w:szCs w:val="20"/>
        </w:rPr>
        <w:t>使用教材：</w:t>
      </w:r>
    </w:p>
    <w:p>
      <w:pPr>
        <w:snapToGrid w:val="0"/>
        <w:spacing w:line="288" w:lineRule="auto"/>
        <w:ind w:firstLine="400" w:firstLineChars="200"/>
        <w:rPr>
          <w:rFonts w:hint="eastAsia"/>
          <w:color w:val="000000"/>
          <w:sz w:val="20"/>
          <w:szCs w:val="20"/>
          <w:highlight w:val="none"/>
          <w:lang w:eastAsia="zh-CN"/>
        </w:rPr>
      </w:pPr>
      <w:r>
        <w:rPr>
          <w:rFonts w:hint="eastAsia"/>
          <w:color w:val="000000"/>
          <w:sz w:val="20"/>
          <w:szCs w:val="20"/>
          <w:lang w:val="en-US" w:eastAsia="zh-CN"/>
        </w:rPr>
        <w:t>教材：无：</w:t>
      </w:r>
    </w:p>
    <w:p>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pPr>
        <w:snapToGrid w:val="0"/>
        <w:spacing w:line="288" w:lineRule="auto"/>
        <w:ind w:left="799" w:leftChars="190" w:hanging="400" w:hangingChars="200"/>
        <w:rPr>
          <w:b/>
          <w:bCs/>
          <w:color w:val="000000"/>
          <w:sz w:val="20"/>
          <w:szCs w:val="20"/>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pPr>
        <w:snapToGrid w:val="0"/>
        <w:spacing w:line="288" w:lineRule="auto"/>
        <w:ind w:firstLine="394" w:firstLineChars="196"/>
        <w:jc w:val="left"/>
        <w:rPr>
          <w:rFonts w:hint="eastAsia"/>
          <w:b/>
          <w:bCs/>
          <w:color w:val="000000"/>
          <w:sz w:val="20"/>
          <w:szCs w:val="20"/>
        </w:rPr>
      </w:pPr>
      <w:r>
        <w:rPr>
          <w:rFonts w:hint="eastAsia"/>
          <w:b/>
          <w:bCs/>
          <w:color w:val="000000"/>
          <w:sz w:val="20"/>
          <w:szCs w:val="20"/>
        </w:rPr>
        <w:t>课程网站网址：</w:t>
      </w:r>
    </w:p>
    <w:p>
      <w:pPr>
        <w:snapToGrid w:val="0"/>
        <w:spacing w:line="288" w:lineRule="auto"/>
        <w:ind w:firstLine="394"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《智慧对对碰》是旨在培养学生专业实践能力与专业反思能力的实践课程。通过深入保教现场观察与思考，对涉及幼儿园教育过程的现象与问题进行梳理、探讨、辩论。</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在保教实践体验的基础上进行思考与讨论的方式展开。学生或进入保教现场体验，或通过现场视频观看，各自记录过程要点、感悟及问题，然后进行分析整理并提出问题，进而借助阅读、思考等提出自己的见解，以小组形式展开讨论，发表自己的观点。</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课程整个流程的关键三个环节：体验、思考、表达。</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双导师制。幼儿园实践导师和系专业导师在第一学年通过参与引导介入学生的讨论，评价学生在对碰过程中的投入程度与效果。然后通过建立机制、培养能力促进学生在这门课程学习中的自治，专业导师逐步退后为联系人和评判人。</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本学期课程为专业实践的第一阶段（“雾里看花”阶段），旨在帮助学生实现“门外汉初入门”。</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本学期课程就学生在幼儿园保教现场，观看一日生活实况录播、专家讲座、学术研讨会议等视频等过程中，针对</w:t>
      </w:r>
      <w:r>
        <w:rPr>
          <w:rFonts w:hint="default"/>
          <w:color w:val="000000"/>
          <w:sz w:val="20"/>
          <w:szCs w:val="20"/>
          <w:lang w:val="en-US" w:eastAsia="zh-CN"/>
        </w:rPr>
        <w:t>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等产生的问题、思考及感悟，引导学生把心理学基础等课程知识运用于分析保教现场的问题，表达对相关问题的看法。</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color w:val="000000"/>
          <w:sz w:val="20"/>
          <w:szCs w:val="20"/>
          <w:lang w:eastAsia="zh-CN"/>
        </w:rPr>
      </w:pPr>
      <w:r>
        <w:rPr>
          <w:rFonts w:hint="eastAsia"/>
          <w:color w:val="000000"/>
          <w:sz w:val="20"/>
          <w:szCs w:val="20"/>
        </w:rPr>
        <w:t>本课程建议学前教育专业的</w:t>
      </w:r>
      <w:r>
        <w:rPr>
          <w:rFonts w:hint="eastAsia"/>
          <w:color w:val="000000"/>
          <w:sz w:val="20"/>
          <w:szCs w:val="20"/>
          <w:lang w:val="en-US" w:eastAsia="zh-CN"/>
        </w:rPr>
        <w:t>一</w:t>
      </w:r>
      <w:r>
        <w:rPr>
          <w:rFonts w:hint="eastAsia"/>
          <w:color w:val="000000"/>
          <w:sz w:val="20"/>
          <w:szCs w:val="20"/>
        </w:rPr>
        <w:t>年级学生选课</w:t>
      </w:r>
      <w:r>
        <w:rPr>
          <w:rFonts w:hint="eastAsia"/>
          <w:color w:val="000000"/>
          <w:sz w:val="20"/>
          <w:szCs w:val="20"/>
          <w:lang w:eastAsia="zh-CN"/>
        </w:rPr>
        <w:t>。</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bl>
    <w:p>
      <w:pPr>
        <w:rPr>
          <w:rFonts w:hint="eastAsia" w:ascii="宋体" w:hAnsi="宋体" w:eastAsia="宋体" w:cs="Times New Roman"/>
          <w:b/>
          <w:bCs w:val="0"/>
          <w:kern w:val="2"/>
          <w:sz w:val="21"/>
          <w:szCs w:val="21"/>
          <w:lang w:val="en-US" w:eastAsia="zh-CN" w:bidi="ar-SA"/>
        </w:rPr>
      </w:pPr>
    </w:p>
    <w:p>
      <w:pPr>
        <w:pStyle w:val="2"/>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pPr>
        <w:widowControl/>
        <w:spacing w:beforeLines="50" w:afterLines="50" w:line="288" w:lineRule="auto"/>
        <w:ind w:firstLine="360" w:firstLineChars="150"/>
        <w:jc w:val="left"/>
        <w:rPr>
          <w:rFonts w:hint="eastAsia" w:ascii="黑体" w:hAnsi="宋体" w:eastAsia="黑体"/>
          <w:sz w:val="24"/>
          <w:highlight w:val="none"/>
          <w:u w:val="none"/>
        </w:rPr>
      </w:pPr>
    </w:p>
    <w:p>
      <w:pPr>
        <w:widowControl/>
        <w:spacing w:beforeLines="50" w:afterLines="50" w:line="288" w:lineRule="auto"/>
        <w:ind w:firstLine="360" w:firstLineChars="150"/>
        <w:jc w:val="left"/>
        <w:rPr>
          <w:rFonts w:hint="eastAsia" w:ascii="黑体" w:hAnsi="宋体" w:eastAsia="黑体"/>
          <w:sz w:val="24"/>
          <w:highlight w:val="none"/>
          <w:u w:val="none"/>
        </w:rPr>
      </w:pPr>
    </w:p>
    <w:p>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282"/>
        <w:gridCol w:w="238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282"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387"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123</w:t>
            </w:r>
          </w:p>
        </w:tc>
        <w:tc>
          <w:tcPr>
            <w:tcW w:w="2282" w:type="dxa"/>
            <w:shd w:val="clear" w:color="auto" w:fill="auto"/>
          </w:tcPr>
          <w:p>
            <w:pPr>
              <w:widowControl/>
              <w:rPr>
                <w:rFonts w:hint="eastAsia"/>
                <w:bCs/>
                <w:sz w:val="20"/>
                <w:szCs w:val="20"/>
              </w:rPr>
            </w:pPr>
            <w:r>
              <w:rPr>
                <w:rFonts w:hint="eastAsia"/>
                <w:bCs/>
                <w:sz w:val="20"/>
                <w:szCs w:val="20"/>
                <w:lang w:val="en-US" w:eastAsia="zh-CN"/>
              </w:rPr>
              <w:t>1.</w:t>
            </w:r>
            <w:r>
              <w:rPr>
                <w:rFonts w:hint="eastAsia"/>
                <w:bCs/>
                <w:sz w:val="20"/>
                <w:szCs w:val="20"/>
              </w:rPr>
              <w:t>亲近孩子，观察孩子，熟悉孩子，读懂孩子，在真实的幼教情境中了解幼儿身心发展的特点和途径</w:t>
            </w:r>
            <w:r>
              <w:rPr>
                <w:rFonts w:hint="eastAsia"/>
                <w:bCs/>
                <w:sz w:val="20"/>
                <w:szCs w:val="20"/>
                <w:lang w:eastAsia="zh-CN"/>
              </w:rPr>
              <w:t>。</w:t>
            </w:r>
            <w:r>
              <w:rPr>
                <w:rFonts w:hint="eastAsia"/>
                <w:bCs/>
                <w:sz w:val="20"/>
                <w:szCs w:val="20"/>
                <w:lang w:val="en-US" w:eastAsia="zh-CN"/>
              </w:rPr>
              <w:t>2.</w:t>
            </w:r>
            <w:r>
              <w:rPr>
                <w:rFonts w:hint="eastAsia"/>
                <w:bCs/>
                <w:sz w:val="20"/>
                <w:szCs w:val="20"/>
              </w:rPr>
              <w:t>观察和体会幼儿园教师与幼儿的互动</w:t>
            </w:r>
            <w:r>
              <w:rPr>
                <w:rFonts w:hint="eastAsia"/>
                <w:bCs/>
                <w:sz w:val="20"/>
                <w:szCs w:val="20"/>
                <w:lang w:eastAsia="zh-CN"/>
              </w:rPr>
              <w:t>，</w:t>
            </w:r>
            <w:r>
              <w:rPr>
                <w:rFonts w:hint="eastAsia"/>
                <w:bCs/>
                <w:sz w:val="20"/>
                <w:szCs w:val="20"/>
              </w:rPr>
              <w:t>树立正确的儿童观。</w:t>
            </w:r>
          </w:p>
        </w:tc>
        <w:tc>
          <w:tcPr>
            <w:tcW w:w="2387"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1.组织与参与“智慧对对碰”活动，在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pPr>
              <w:widowControl/>
              <w:rPr>
                <w:rFonts w:hint="default"/>
                <w:bCs/>
                <w:color w:val="000000"/>
                <w:sz w:val="20"/>
                <w:szCs w:val="20"/>
                <w:lang w:val="en-US" w:eastAsia="zh-CN"/>
              </w:rPr>
            </w:pPr>
            <w:r>
              <w:rPr>
                <w:rFonts w:hint="eastAsia"/>
                <w:bCs/>
                <w:color w:val="000000"/>
                <w:sz w:val="20"/>
                <w:szCs w:val="20"/>
                <w:lang w:val="en-US" w:eastAsia="zh-CN"/>
              </w:rPr>
              <w:t>2.在保教实践体验或观看保教视频的基础上，结合自身记录要点、感悟及疑问，积极分享、提问、互动；</w:t>
            </w:r>
          </w:p>
          <w:p>
            <w:pPr>
              <w:widowControl/>
              <w:rPr>
                <w:rFonts w:hint="default"/>
                <w:bCs/>
                <w:color w:val="000000"/>
                <w:sz w:val="20"/>
                <w:szCs w:val="20"/>
                <w:lang w:val="en-US" w:eastAsia="zh-CN"/>
              </w:rPr>
            </w:pPr>
            <w:r>
              <w:rPr>
                <w:rFonts w:hint="eastAsia"/>
                <w:bCs/>
                <w:color w:val="000000"/>
                <w:sz w:val="20"/>
                <w:szCs w:val="20"/>
                <w:lang w:val="en-US" w:eastAsia="zh-CN"/>
              </w:rPr>
              <w:t>3.借助阅读、思考，借助专业课程的视角等参与研讨、发表各自的观点。</w:t>
            </w:r>
          </w:p>
        </w:tc>
        <w:tc>
          <w:tcPr>
            <w:tcW w:w="2199"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pPr>
              <w:widowControl/>
              <w:rPr>
                <w:rFonts w:hint="eastAsia"/>
                <w:bCs/>
                <w:color w:val="000000"/>
                <w:sz w:val="20"/>
                <w:szCs w:val="20"/>
                <w:lang w:val="en-US" w:eastAsia="zh-CN"/>
              </w:rPr>
            </w:pPr>
            <w:r>
              <w:rPr>
                <w:rFonts w:hint="eastAsia"/>
                <w:bCs/>
                <w:color w:val="000000"/>
                <w:sz w:val="20"/>
                <w:szCs w:val="20"/>
                <w:lang w:val="en-US" w:eastAsia="zh-CN"/>
              </w:rPr>
              <w:t>现场参与情况；</w:t>
            </w:r>
          </w:p>
          <w:p>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75" w:type="dxa"/>
            <w:shd w:val="clear" w:color="auto" w:fill="auto"/>
          </w:tcPr>
          <w:p>
            <w:pPr>
              <w:jc w:val="center"/>
              <w:rPr>
                <w:rFonts w:hint="eastAsia"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rPr>
              <w:t>32</w:t>
            </w:r>
            <w:r>
              <w:rPr>
                <w:rFonts w:hint="eastAsia" w:ascii="仿宋" w:hAnsi="仿宋" w:eastAsia="仿宋" w:cs="宋体"/>
                <w:color w:val="000000"/>
                <w:kern w:val="0"/>
                <w:sz w:val="20"/>
                <w:szCs w:val="20"/>
                <w:lang w:val="en-US" w:eastAsia="zh-CN"/>
              </w:rPr>
              <w:t>1</w:t>
            </w:r>
          </w:p>
        </w:tc>
        <w:tc>
          <w:tcPr>
            <w:tcW w:w="2282" w:type="dxa"/>
            <w:shd w:val="clear" w:color="auto" w:fill="auto"/>
          </w:tcPr>
          <w:p>
            <w:pPr>
              <w:widowControl/>
              <w:numPr>
                <w:ilvl w:val="0"/>
                <w:numId w:val="2"/>
              </w:numPr>
              <w:rPr>
                <w:rFonts w:hint="eastAsia"/>
                <w:bCs/>
                <w:sz w:val="20"/>
                <w:szCs w:val="20"/>
              </w:rPr>
            </w:pPr>
            <w:r>
              <w:rPr>
                <w:rFonts w:hint="eastAsia"/>
                <w:bCs/>
                <w:sz w:val="20"/>
                <w:szCs w:val="20"/>
              </w:rPr>
              <w:t>熟悉幼儿园一日生活各环节</w:t>
            </w:r>
          </w:p>
          <w:p>
            <w:pPr>
              <w:widowControl/>
              <w:numPr>
                <w:ilvl w:val="0"/>
                <w:numId w:val="2"/>
              </w:numPr>
              <w:rPr>
                <w:rFonts w:hint="eastAsia"/>
                <w:bCs/>
                <w:sz w:val="20"/>
                <w:szCs w:val="20"/>
                <w:lang w:eastAsia="zh-CN"/>
              </w:rPr>
            </w:pPr>
            <w:r>
              <w:rPr>
                <w:rFonts w:hint="eastAsia"/>
                <w:bCs/>
                <w:sz w:val="20"/>
                <w:szCs w:val="20"/>
              </w:rPr>
              <w:t>感受幼教实践的丰富性、复杂性和专业性</w:t>
            </w:r>
            <w:r>
              <w:rPr>
                <w:rFonts w:hint="eastAsia"/>
                <w:bCs/>
                <w:sz w:val="20"/>
                <w:szCs w:val="20"/>
                <w:lang w:eastAsia="zh-CN"/>
              </w:rPr>
              <w:t>。</w:t>
            </w:r>
          </w:p>
        </w:tc>
        <w:tc>
          <w:tcPr>
            <w:tcW w:w="2387" w:type="dxa"/>
            <w:shd w:val="clear" w:color="auto" w:fill="auto"/>
          </w:tcPr>
          <w:p>
            <w:pPr>
              <w:widowControl/>
              <w:numPr>
                <w:ilvl w:val="0"/>
                <w:numId w:val="3"/>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pPr>
              <w:widowControl/>
              <w:rPr>
                <w:rFonts w:hint="eastAsia"/>
                <w:bCs/>
                <w:color w:val="000000"/>
                <w:sz w:val="20"/>
                <w:szCs w:val="20"/>
                <w:lang w:val="en-US" w:eastAsia="zh-CN"/>
              </w:rPr>
            </w:pPr>
            <w:r>
              <w:rPr>
                <w:rFonts w:hint="eastAsia"/>
                <w:bCs/>
                <w:color w:val="000000"/>
                <w:sz w:val="20"/>
                <w:szCs w:val="20"/>
                <w:lang w:val="en-US" w:eastAsia="zh-CN"/>
              </w:rPr>
              <w:t>现场参与情况；</w:t>
            </w:r>
          </w:p>
          <w:p>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411</w:t>
            </w:r>
          </w:p>
        </w:tc>
        <w:tc>
          <w:tcPr>
            <w:tcW w:w="2282" w:type="dxa"/>
            <w:shd w:val="clear" w:color="auto" w:fill="auto"/>
          </w:tcPr>
          <w:p>
            <w:pPr>
              <w:widowControl/>
              <w:numPr>
                <w:ilvl w:val="0"/>
                <w:numId w:val="4"/>
              </w:numPr>
              <w:rPr>
                <w:rFonts w:hint="eastAsia"/>
                <w:bCs/>
                <w:sz w:val="20"/>
                <w:szCs w:val="20"/>
              </w:rPr>
            </w:pPr>
            <w:r>
              <w:rPr>
                <w:rFonts w:hint="eastAsia"/>
                <w:bCs/>
                <w:sz w:val="20"/>
                <w:szCs w:val="20"/>
              </w:rPr>
              <w:t>进入保教现场体验或通过现场视频观看，在保教实践体验的基础上各自记录过程要点、感悟及疑问，然后进行分析整理并提出问题</w:t>
            </w:r>
            <w:r>
              <w:rPr>
                <w:rFonts w:hint="eastAsia"/>
                <w:bCs/>
                <w:sz w:val="20"/>
                <w:szCs w:val="20"/>
                <w:lang w:eastAsia="zh-CN"/>
              </w:rPr>
              <w:t>。</w:t>
            </w:r>
          </w:p>
          <w:p>
            <w:pPr>
              <w:widowControl/>
              <w:numPr>
                <w:ilvl w:val="0"/>
                <w:numId w:val="4"/>
              </w:numPr>
              <w:rPr>
                <w:rFonts w:hint="eastAsia"/>
                <w:bCs/>
                <w:sz w:val="20"/>
                <w:szCs w:val="20"/>
                <w:lang w:eastAsia="zh-CN"/>
              </w:rPr>
            </w:pP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387" w:type="dxa"/>
            <w:shd w:val="clear" w:color="auto" w:fill="auto"/>
          </w:tcPr>
          <w:p>
            <w:pPr>
              <w:widowControl/>
              <w:numPr>
                <w:ilvl w:val="0"/>
                <w:numId w:val="5"/>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pPr>
              <w:widowControl/>
              <w:rPr>
                <w:rFonts w:hint="eastAsia"/>
                <w:bCs/>
                <w:color w:val="000000"/>
                <w:sz w:val="20"/>
                <w:szCs w:val="20"/>
                <w:lang w:val="en-US" w:eastAsia="zh-CN"/>
              </w:rPr>
            </w:pPr>
            <w:r>
              <w:rPr>
                <w:rFonts w:hint="eastAsia"/>
                <w:bCs/>
                <w:color w:val="000000"/>
                <w:sz w:val="20"/>
                <w:szCs w:val="20"/>
                <w:lang w:val="en-US" w:eastAsia="zh-CN"/>
              </w:rPr>
              <w:t>现场参与情况；</w:t>
            </w:r>
          </w:p>
          <w:p>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bl>
    <w:p>
      <w:pPr>
        <w:keepNext w:val="0"/>
        <w:keepLines w:val="0"/>
        <w:pageBreakBefore w:val="0"/>
        <w:widowControl/>
        <w:numPr>
          <w:ilvl w:val="0"/>
          <w:numId w:val="0"/>
        </w:numPr>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475"/>
        <w:gridCol w:w="2475"/>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autoSpaceDE w:val="0"/>
              <w:autoSpaceDN w:val="0"/>
              <w:adjustRightInd w:val="0"/>
              <w:spacing w:line="360" w:lineRule="exact"/>
              <w:ind w:firstLine="422" w:firstLineChars="200"/>
              <w:jc w:val="left"/>
              <w:rPr>
                <w:rFonts w:hint="eastAsia" w:ascii="黑体" w:hAnsi="Times New Roman" w:eastAsia="黑体"/>
                <w:b/>
                <w:bCs/>
                <w:szCs w:val="21"/>
                <w:lang w:val="zh-CN"/>
              </w:rPr>
            </w:pPr>
            <w:r>
              <w:rPr>
                <w:rFonts w:hint="eastAsia" w:ascii="黑体" w:hAnsi="Times New Roman" w:eastAsia="黑体"/>
                <w:b/>
                <w:bCs/>
                <w:szCs w:val="21"/>
                <w:lang w:val="zh-CN"/>
              </w:rPr>
              <w:t>单元</w:t>
            </w:r>
          </w:p>
        </w:tc>
        <w:tc>
          <w:tcPr>
            <w:tcW w:w="2475" w:type="dxa"/>
            <w:vAlign w:val="center"/>
          </w:tcPr>
          <w:p>
            <w:pPr>
              <w:autoSpaceDE w:val="0"/>
              <w:autoSpaceDN w:val="0"/>
              <w:adjustRightInd w:val="0"/>
              <w:spacing w:line="360" w:lineRule="exact"/>
              <w:ind w:firstLine="422" w:firstLineChars="200"/>
              <w:jc w:val="left"/>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教学知识点</w:t>
            </w:r>
          </w:p>
        </w:tc>
        <w:tc>
          <w:tcPr>
            <w:tcW w:w="2475" w:type="dxa"/>
            <w:vAlign w:val="center"/>
          </w:tcPr>
          <w:p>
            <w:pPr>
              <w:autoSpaceDE w:val="0"/>
              <w:autoSpaceDN w:val="0"/>
              <w:adjustRightInd w:val="0"/>
              <w:spacing w:line="360" w:lineRule="exact"/>
              <w:ind w:firstLine="422"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477" w:type="dxa"/>
            <w:vAlign w:val="center"/>
          </w:tcPr>
          <w:p>
            <w:pPr>
              <w:autoSpaceDE w:val="0"/>
              <w:autoSpaceDN w:val="0"/>
              <w:adjustRightInd w:val="0"/>
              <w:spacing w:line="360" w:lineRule="exact"/>
              <w:ind w:firstLine="422"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第一单元</w:t>
            </w:r>
          </w:p>
          <w:p>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幼儿园一日生活各环节</w:t>
            </w:r>
          </w:p>
          <w:p>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1.观察记录、发现问题的能力，表达对各地各园幼儿园一日生活各环节看法的能力；</w:t>
            </w:r>
          </w:p>
          <w:p>
            <w:pPr>
              <w:autoSpaceDE w:val="0"/>
              <w:autoSpaceDN w:val="0"/>
              <w:adjustRightInd w:val="0"/>
              <w:spacing w:line="360" w:lineRule="exact"/>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3.收集与幼儿园一日生活相关的资料与素材，进行思考与表达。</w:t>
            </w:r>
          </w:p>
        </w:tc>
        <w:tc>
          <w:tcPr>
            <w:tcW w:w="2477" w:type="dxa"/>
            <w:vAlign w:val="top"/>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第二单元</w:t>
            </w:r>
          </w:p>
          <w:p>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师幼互动</w:t>
            </w:r>
          </w:p>
          <w:p>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1.观察记录的能力，发现问题的能力，表达对师幼互动现象看法的能力；</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3.收集与师幼互动相关的资料与素材，进行思考与表达。</w:t>
            </w:r>
          </w:p>
        </w:tc>
        <w:tc>
          <w:tcPr>
            <w:tcW w:w="2477"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bl>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bl>
    <w:p>
      <w:pPr>
        <w:snapToGrid w:val="0"/>
        <w:spacing w:line="288" w:lineRule="auto"/>
        <w:ind w:right="252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评价方式与成绩</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9"/>
        <w:gridCol w:w="5416"/>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4</w:t>
            </w:r>
            <w:r>
              <w:rPr>
                <w:rFonts w:hint="eastAsia" w:ascii="宋体" w:hAnsi="宋体"/>
                <w:bCs/>
                <w:color w:val="000000"/>
                <w:szCs w:val="20"/>
              </w:rPr>
              <w:t>X）</w:t>
            </w:r>
          </w:p>
        </w:tc>
        <w:tc>
          <w:tcPr>
            <w:tcW w:w="5416" w:type="dxa"/>
            <w:vAlign w:val="center"/>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评价方式</w:t>
            </w:r>
          </w:p>
        </w:tc>
        <w:tc>
          <w:tcPr>
            <w:tcW w:w="1407" w:type="dxa"/>
            <w:vAlign w:val="center"/>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rPr>
            </w:pPr>
            <w:r>
              <w:rPr>
                <w:rFonts w:hint="eastAsia"/>
              </w:rPr>
              <w:t>X1</w:t>
            </w:r>
          </w:p>
        </w:tc>
        <w:tc>
          <w:tcPr>
            <w:tcW w:w="5416" w:type="dxa"/>
            <w:vAlign w:val="center"/>
          </w:tcPr>
          <w:p>
            <w:pPr>
              <w:snapToGrid w:val="0"/>
              <w:spacing w:before="156" w:beforeLines="50" w:after="156" w:afterLines="50"/>
              <w:jc w:val="center"/>
              <w:rPr>
                <w:rFonts w:hint="default"/>
                <w:lang w:val="en-US" w:eastAsia="zh-CN"/>
              </w:rPr>
            </w:pPr>
            <w:r>
              <w:rPr>
                <w:rFonts w:hint="eastAsia"/>
                <w:lang w:val="en-US" w:eastAsia="zh-CN"/>
              </w:rPr>
              <w:t>课堂执行规则情况</w:t>
            </w:r>
          </w:p>
        </w:tc>
        <w:tc>
          <w:tcPr>
            <w:tcW w:w="1407" w:type="dxa"/>
            <w:vAlign w:val="center"/>
          </w:tcPr>
          <w:p>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rPr>
            </w:pPr>
            <w:r>
              <w:rPr>
                <w:rFonts w:hint="eastAsia"/>
              </w:rPr>
              <w:t>X2</w:t>
            </w:r>
          </w:p>
        </w:tc>
        <w:tc>
          <w:tcPr>
            <w:tcW w:w="5416" w:type="dxa"/>
            <w:vAlign w:val="center"/>
          </w:tcPr>
          <w:p>
            <w:pPr>
              <w:snapToGrid w:val="0"/>
              <w:spacing w:before="156" w:beforeLines="50" w:after="156" w:afterLines="50"/>
              <w:jc w:val="center"/>
              <w:rPr>
                <w:rFonts w:hint="eastAsia"/>
                <w:lang w:val="en-US" w:eastAsia="zh-CN"/>
              </w:rPr>
            </w:pPr>
            <w:r>
              <w:rPr>
                <w:rFonts w:hint="eastAsia"/>
                <w:lang w:val="en-US" w:eastAsia="zh-CN"/>
              </w:rPr>
              <w:t>现场参与情况</w:t>
            </w:r>
          </w:p>
        </w:tc>
        <w:tc>
          <w:tcPr>
            <w:tcW w:w="1407" w:type="dxa"/>
            <w:vAlign w:val="center"/>
          </w:tcPr>
          <w:p>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rPr>
            </w:pPr>
            <w:r>
              <w:rPr>
                <w:rFonts w:hint="eastAsia"/>
              </w:rPr>
              <w:t>X3</w:t>
            </w:r>
          </w:p>
        </w:tc>
        <w:tc>
          <w:tcPr>
            <w:tcW w:w="5416" w:type="dxa"/>
            <w:vAlign w:val="center"/>
          </w:tcPr>
          <w:p>
            <w:pPr>
              <w:snapToGrid w:val="0"/>
              <w:spacing w:before="156" w:beforeLines="50" w:after="156" w:afterLines="50"/>
              <w:jc w:val="center"/>
              <w:rPr>
                <w:rFonts w:hint="eastAsia"/>
                <w:lang w:val="en-US" w:eastAsia="zh-CN"/>
              </w:rPr>
            </w:pPr>
            <w:r>
              <w:rPr>
                <w:rFonts w:hint="eastAsia"/>
                <w:lang w:val="en-US" w:eastAsia="zh-CN"/>
              </w:rPr>
              <w:t>智慧对对碰成效</w:t>
            </w:r>
          </w:p>
        </w:tc>
        <w:tc>
          <w:tcPr>
            <w:tcW w:w="1407" w:type="dxa"/>
            <w:vAlign w:val="center"/>
          </w:tcPr>
          <w:p>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default"/>
                <w:lang w:val="en-US" w:eastAsia="zh-CN"/>
              </w:rPr>
            </w:pPr>
            <w:r>
              <w:rPr>
                <w:rFonts w:hint="eastAsia"/>
                <w:lang w:val="en-US" w:eastAsia="zh-CN"/>
              </w:rPr>
              <w:t>X4</w:t>
            </w:r>
          </w:p>
        </w:tc>
        <w:tc>
          <w:tcPr>
            <w:tcW w:w="5416" w:type="dxa"/>
            <w:vAlign w:val="center"/>
          </w:tcPr>
          <w:p>
            <w:pPr>
              <w:snapToGrid w:val="0"/>
              <w:spacing w:before="156" w:beforeLines="50" w:after="156" w:afterLines="50"/>
              <w:jc w:val="center"/>
              <w:rPr>
                <w:rFonts w:hint="eastAsia"/>
                <w:lang w:val="en-US" w:eastAsia="zh-CN"/>
              </w:rPr>
            </w:pPr>
            <w:r>
              <w:rPr>
                <w:rFonts w:hint="eastAsia"/>
                <w:lang w:val="en-US" w:eastAsia="zh-CN"/>
              </w:rPr>
              <w:t>小组内评价、汇报评价</w:t>
            </w:r>
          </w:p>
        </w:tc>
        <w:tc>
          <w:tcPr>
            <w:tcW w:w="1407" w:type="dxa"/>
            <w:vAlign w:val="center"/>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30%</w:t>
            </w:r>
          </w:p>
        </w:tc>
      </w:tr>
    </w:tbl>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撰写人：</w:t>
      </w:r>
      <w:r>
        <w:rPr>
          <w:rFonts w:hint="eastAsia"/>
          <w:sz w:val="28"/>
          <w:szCs w:val="28"/>
          <w:lang w:val="en-US" w:eastAsia="zh-CN"/>
        </w:rPr>
        <w:t xml:space="preserve"> 马嘉玉   </w:t>
      </w:r>
      <w:r>
        <w:rPr>
          <w:rFonts w:hint="eastAsia"/>
          <w:sz w:val="28"/>
          <w:szCs w:val="28"/>
        </w:rPr>
        <w:t>系主任审核签名：</w:t>
      </w:r>
      <w:r>
        <w:rPr>
          <w:rFonts w:hint="eastAsia"/>
          <w:sz w:val="28"/>
          <w:szCs w:val="28"/>
          <w:lang w:val="en-US" w:eastAsia="zh-CN"/>
        </w:rPr>
        <w:t xml:space="preserve">杨洁   </w:t>
      </w:r>
      <w:r>
        <w:rPr>
          <w:rFonts w:hint="eastAsia"/>
          <w:sz w:val="28"/>
          <w:szCs w:val="28"/>
        </w:rPr>
        <w:t>审核时间：2</w:t>
      </w:r>
      <w:r>
        <w:rPr>
          <w:sz w:val="28"/>
          <w:szCs w:val="28"/>
        </w:rPr>
        <w:t>023-3-1</w:t>
      </w:r>
      <w:r>
        <w:rPr>
          <w:rFonts w:hint="eastAsia"/>
          <w:sz w:val="28"/>
          <w:szCs w:val="28"/>
        </w:rPr>
        <w:t xml:space="preserve">  </w:t>
      </w:r>
      <w:bookmarkStart w:id="1" w:name="_GoBack"/>
      <w:bookmarkEnd w:id="1"/>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E22"/>
    <w:multiLevelType w:val="singleLevel"/>
    <w:tmpl w:val="C9232E22"/>
    <w:lvl w:ilvl="0" w:tentative="0">
      <w:start w:val="1"/>
      <w:numFmt w:val="decimal"/>
      <w:lvlText w:val="%1."/>
      <w:lvlJc w:val="left"/>
      <w:pPr>
        <w:tabs>
          <w:tab w:val="left" w:pos="312"/>
        </w:tabs>
      </w:pPr>
    </w:lvl>
  </w:abstractNum>
  <w:abstractNum w:abstractNumId="1">
    <w:nsid w:val="EB3FA213"/>
    <w:multiLevelType w:val="singleLevel"/>
    <w:tmpl w:val="EB3FA213"/>
    <w:lvl w:ilvl="0" w:tentative="0">
      <w:start w:val="1"/>
      <w:numFmt w:val="decimal"/>
      <w:lvlText w:val="%1."/>
      <w:lvlJc w:val="left"/>
      <w:pPr>
        <w:tabs>
          <w:tab w:val="left" w:pos="312"/>
        </w:tabs>
      </w:pPr>
    </w:lvl>
  </w:abstractNum>
  <w:abstractNum w:abstractNumId="2">
    <w:nsid w:val="12E465A4"/>
    <w:multiLevelType w:val="singleLevel"/>
    <w:tmpl w:val="12E465A4"/>
    <w:lvl w:ilvl="0" w:tentative="0">
      <w:start w:val="1"/>
      <w:numFmt w:val="decimal"/>
      <w:lvlText w:val="%1."/>
      <w:lvlJc w:val="left"/>
      <w:pPr>
        <w:tabs>
          <w:tab w:val="left" w:pos="312"/>
        </w:tabs>
      </w:pPr>
    </w:lvl>
  </w:abstractNum>
  <w:abstractNum w:abstractNumId="3">
    <w:nsid w:val="1BADD652"/>
    <w:multiLevelType w:val="singleLevel"/>
    <w:tmpl w:val="1BADD652"/>
    <w:lvl w:ilvl="0" w:tentative="0">
      <w:start w:val="4"/>
      <w:numFmt w:val="chineseCounting"/>
      <w:suff w:val="nothing"/>
      <w:lvlText w:val="%1、"/>
      <w:lvlJc w:val="left"/>
      <w:rPr>
        <w:rFonts w:hint="eastAsia"/>
      </w:rPr>
    </w:lvl>
  </w:abstractNum>
  <w:abstractNum w:abstractNumId="4">
    <w:nsid w:val="6135817A"/>
    <w:multiLevelType w:val="singleLevel"/>
    <w:tmpl w:val="6135817A"/>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zOWUzMmNjMDkzOGI4OGZiMGMwYjk2MmE1MzdmNj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1963D7"/>
    <w:rsid w:val="024B0C39"/>
    <w:rsid w:val="03FC4D67"/>
    <w:rsid w:val="082E1A36"/>
    <w:rsid w:val="08E07F57"/>
    <w:rsid w:val="0A8128A6"/>
    <w:rsid w:val="0AC14DE0"/>
    <w:rsid w:val="0AE074A7"/>
    <w:rsid w:val="0BF32A1B"/>
    <w:rsid w:val="0C3B03C9"/>
    <w:rsid w:val="0C9C4122"/>
    <w:rsid w:val="0D0201FA"/>
    <w:rsid w:val="10185972"/>
    <w:rsid w:val="10BD2C22"/>
    <w:rsid w:val="12B51632"/>
    <w:rsid w:val="13436D74"/>
    <w:rsid w:val="14F257D1"/>
    <w:rsid w:val="15216997"/>
    <w:rsid w:val="16812928"/>
    <w:rsid w:val="16D87758"/>
    <w:rsid w:val="18B4465B"/>
    <w:rsid w:val="19E02ACD"/>
    <w:rsid w:val="1D32570E"/>
    <w:rsid w:val="1E417807"/>
    <w:rsid w:val="21FC2598"/>
    <w:rsid w:val="22112913"/>
    <w:rsid w:val="22987C80"/>
    <w:rsid w:val="22CA6537"/>
    <w:rsid w:val="22DE464E"/>
    <w:rsid w:val="24192CCC"/>
    <w:rsid w:val="24371604"/>
    <w:rsid w:val="2488753D"/>
    <w:rsid w:val="272E640C"/>
    <w:rsid w:val="27314289"/>
    <w:rsid w:val="2DE56DBC"/>
    <w:rsid w:val="324936A6"/>
    <w:rsid w:val="32833F5C"/>
    <w:rsid w:val="33CE08A6"/>
    <w:rsid w:val="35F426C9"/>
    <w:rsid w:val="398D694D"/>
    <w:rsid w:val="39A66CD4"/>
    <w:rsid w:val="3CD52CE1"/>
    <w:rsid w:val="3DA637E2"/>
    <w:rsid w:val="3ECF46F1"/>
    <w:rsid w:val="40AB591A"/>
    <w:rsid w:val="40F469FC"/>
    <w:rsid w:val="410F2E6A"/>
    <w:rsid w:val="4430136C"/>
    <w:rsid w:val="471A4106"/>
    <w:rsid w:val="4AB0382B"/>
    <w:rsid w:val="4E5E51CA"/>
    <w:rsid w:val="4F1F790E"/>
    <w:rsid w:val="506F7AB3"/>
    <w:rsid w:val="51803E81"/>
    <w:rsid w:val="52BA6BF0"/>
    <w:rsid w:val="53B031D8"/>
    <w:rsid w:val="5646353E"/>
    <w:rsid w:val="569868B5"/>
    <w:rsid w:val="56EA7EED"/>
    <w:rsid w:val="575561C5"/>
    <w:rsid w:val="5B137015"/>
    <w:rsid w:val="5B4F61DD"/>
    <w:rsid w:val="5C3C7A97"/>
    <w:rsid w:val="5D3D5306"/>
    <w:rsid w:val="5E1F1DFA"/>
    <w:rsid w:val="611F6817"/>
    <w:rsid w:val="62AA216C"/>
    <w:rsid w:val="650E0CB8"/>
    <w:rsid w:val="6671297B"/>
    <w:rsid w:val="66CA1754"/>
    <w:rsid w:val="67E0637A"/>
    <w:rsid w:val="68554F54"/>
    <w:rsid w:val="695D521F"/>
    <w:rsid w:val="6A2A2863"/>
    <w:rsid w:val="6A6E568B"/>
    <w:rsid w:val="6BDC6503"/>
    <w:rsid w:val="6D827299"/>
    <w:rsid w:val="6D8F651E"/>
    <w:rsid w:val="6F1E65D4"/>
    <w:rsid w:val="6F266C86"/>
    <w:rsid w:val="6F5042C2"/>
    <w:rsid w:val="708A3179"/>
    <w:rsid w:val="71C47EB4"/>
    <w:rsid w:val="71E44AA0"/>
    <w:rsid w:val="721F78E8"/>
    <w:rsid w:val="72C01501"/>
    <w:rsid w:val="74316312"/>
    <w:rsid w:val="780F13C8"/>
    <w:rsid w:val="7AA1741A"/>
    <w:rsid w:val="7B792AA3"/>
    <w:rsid w:val="7C385448"/>
    <w:rsid w:val="7CB3663D"/>
    <w:rsid w:val="7F030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3268</Words>
  <Characters>3617</Characters>
  <Lines>13</Lines>
  <Paragraphs>3</Paragraphs>
  <TotalTime>0</TotalTime>
  <ScaleCrop>false</ScaleCrop>
  <LinksUpToDate>false</LinksUpToDate>
  <CharactersWithSpaces>3684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sco</cp:lastModifiedBy>
  <cp:lastPrinted>2021-04-30T08:48:00Z</cp:lastPrinted>
  <dcterms:modified xsi:type="dcterms:W3CDTF">2023-06-15T03:52:16Z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3C520A14EAFA4600AF54C797F57EDD6F</vt:lpwstr>
  </property>
</Properties>
</file>