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沈志军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zjshen@shmtu.edu.cn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网络工程B23-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机制B23-1、机制B23-5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四教403，三教418，二教206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Theme="minorEastAsia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课前及线上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上课教室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zh-TW"/>
              </w:rPr>
              <w:t>13917009785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任课教师：沈志军  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A7C4B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357F2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A237790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4F77F-7048-42D7-B744-6D4E65D299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1343</Characters>
  <Lines>11</Lines>
  <Paragraphs>3</Paragraphs>
  <TotalTime>108</TotalTime>
  <ScaleCrop>false</ScaleCrop>
  <LinksUpToDate>false</LinksUpToDate>
  <CharactersWithSpaces>1575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归去来兮</cp:lastModifiedBy>
  <dcterms:modified xsi:type="dcterms:W3CDTF">2023-09-19T14:34:00Z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1358AC004E504B5EB3540D1B6F5E0DA6_12</vt:lpwstr>
  </property>
</Properties>
</file>