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24003@gench.edu.cn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计科B23-2;计科B23-1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1~16周 星期三 3~4节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四教106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1~16周 星期四 3~4节三教204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br w:type="textWrapping"/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1~15(单)周 星期五 5~6节 三教118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周三13:00-15：00   地点：教育学院办公楼235室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电话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：18817519024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邮箱：24003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@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gench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edu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zh-CN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唐婉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2024年3月2日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NGFjOTI5MzVmNGZkZTA1ZTNhNDQxNGIxYTVlNzA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D65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ED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212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27479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3E41"/>
    <w:rsid w:val="00964435"/>
    <w:rsid w:val="00964A1C"/>
    <w:rsid w:val="00965011"/>
    <w:rsid w:val="00970588"/>
    <w:rsid w:val="0097100A"/>
    <w:rsid w:val="00973BAA"/>
    <w:rsid w:val="00975747"/>
    <w:rsid w:val="00984015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5D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283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9E25317"/>
    <w:rsid w:val="2E59298A"/>
    <w:rsid w:val="37E50B00"/>
    <w:rsid w:val="3F0F4BBA"/>
    <w:rsid w:val="41937A75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75C6F-FAB8-4251-9099-A41896657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274</Words>
  <Characters>1564</Characters>
  <Lines>13</Lines>
  <Paragraphs>3</Paragraphs>
  <TotalTime>103</TotalTime>
  <ScaleCrop>false</ScaleCrop>
  <LinksUpToDate>false</LinksUpToDate>
  <CharactersWithSpaces>1835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2024-03-13T04:52:01Z</dcterms:modified>
  <dc:title>上海建桥学院教学进度计划表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04EFC07630EA4F0FBA1CD03600E1EBD7</vt:lpwstr>
  </property>
</Properties>
</file>