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  大学物理</w:t>
      </w:r>
      <w:r>
        <w:rPr>
          <w:rFonts w:hint="eastAsia" w:ascii="黑体" w:hAnsi="黑体" w:eastAsia="黑体"/>
          <w:bCs/>
          <w:sz w:val="32"/>
          <w:szCs w:val="32"/>
          <w:lang w:eastAsia="zh-CN"/>
        </w:rPr>
        <w:t>（</w:t>
      </w:r>
      <w:r>
        <w:rPr>
          <w:rFonts w:hint="eastAsia" w:ascii="黑体" w:hAnsi="黑体" w:eastAsia="黑体"/>
          <w:bCs/>
          <w:sz w:val="32"/>
          <w:szCs w:val="32"/>
          <w:lang w:val="en-US" w:eastAsia="zh-CN"/>
        </w:rPr>
        <w:t>1</w:t>
      </w:r>
      <w:r>
        <w:rPr>
          <w:rFonts w:hint="eastAsia" w:ascii="黑体" w:hAnsi="黑体" w:eastAsia="黑体"/>
          <w:bCs/>
          <w:sz w:val="32"/>
          <w:szCs w:val="32"/>
          <w:lang w:eastAsia="zh-CN"/>
        </w:rPr>
        <w:t>）</w:t>
      </w:r>
      <w:r>
        <w:rPr>
          <w:rFonts w:hint="eastAsia" w:ascii="黑体" w:hAnsi="黑体" w:eastAsia="黑体"/>
          <w:bCs/>
          <w:sz w:val="32"/>
          <w:szCs w:val="32"/>
        </w:rPr>
        <w:t xml:space="preserve">  》本科课程教学大纲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067"/>
        <w:gridCol w:w="1059"/>
        <w:gridCol w:w="441"/>
        <w:gridCol w:w="97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hint="eastAsia" w:ascii="宋体" w:hAnsi="宋体" w:eastAsia="宋体" w:cs="宋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（中文）大学物理</w:t>
            </w:r>
            <w:r>
              <w:rPr>
                <w:rFonts w:hint="eastAsia" w:cs="宋体"/>
                <w:color w:val="000000" w:themeColor="text1"/>
                <w:sz w:val="21"/>
                <w:szCs w:val="18"/>
                <w:lang w:eastAsia="zh-CN"/>
                <w14:textFill>
                  <w14:solidFill>
                    <w14:schemeClr w14:val="tx1"/>
                  </w14:solidFill>
                </w14:textFill>
              </w:rPr>
              <w:t>（</w:t>
            </w:r>
            <w:r>
              <w:rPr>
                <w:rFonts w:hint="eastAsia" w:cs="宋体"/>
                <w:color w:val="000000" w:themeColor="text1"/>
                <w:sz w:val="21"/>
                <w:szCs w:val="18"/>
                <w:lang w:val="en-US" w:eastAsia="zh-CN"/>
                <w14:textFill>
                  <w14:solidFill>
                    <w14:schemeClr w14:val="tx1"/>
                  </w14:solidFill>
                </w14:textFill>
              </w:rPr>
              <w:t>1</w:t>
            </w:r>
            <w:r>
              <w:rPr>
                <w:rFonts w:hint="eastAsia" w:cs="宋体"/>
                <w:color w:val="000000" w:themeColor="text1"/>
                <w:sz w:val="21"/>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rFonts w:hint="eastAsia" w:ascii="宋体" w:hAnsi="宋体" w:eastAsia="宋体" w:cs="宋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（英文）</w:t>
            </w:r>
            <w:r>
              <w:rPr>
                <w:rFonts w:hint="default" w:ascii="Times New Roman" w:hAnsi="Times New Roman" w:eastAsia="宋体" w:cs="Times New Roman"/>
                <w:color w:val="000000" w:themeColor="text1"/>
                <w:sz w:val="21"/>
                <w:szCs w:val="18"/>
                <w14:textFill>
                  <w14:solidFill>
                    <w14:schemeClr w14:val="tx1"/>
                  </w14:solidFill>
                </w14:textFill>
              </w:rPr>
              <w:t>University Physics</w:t>
            </w:r>
            <w:r>
              <w:rPr>
                <w:rFonts w:hint="eastAsia" w:ascii="Times New Roman" w:hAnsi="Times New Roman" w:cs="Times New Roman"/>
                <w:color w:val="000000" w:themeColor="text1"/>
                <w:sz w:val="21"/>
                <w:szCs w:val="18"/>
                <w:lang w:eastAsia="zh-CN"/>
                <w14:textFill>
                  <w14:solidFill>
                    <w14:schemeClr w14:val="tx1"/>
                  </w14:solidFill>
                </w14:textFill>
              </w:rPr>
              <w:t>（</w:t>
            </w:r>
            <w:r>
              <w:rPr>
                <w:rFonts w:hint="eastAsia" w:ascii="Times New Roman" w:hAnsi="Times New Roman" w:cs="Times New Roman"/>
                <w:color w:val="000000" w:themeColor="text1"/>
                <w:sz w:val="21"/>
                <w:szCs w:val="18"/>
                <w:lang w:val="en-US" w:eastAsia="zh-CN"/>
                <w14:textFill>
                  <w14:solidFill>
                    <w14:schemeClr w14:val="tx1"/>
                  </w14:solidFill>
                </w14:textFill>
              </w:rPr>
              <w:t>1</w:t>
            </w:r>
            <w:r>
              <w:rPr>
                <w:rFonts w:hint="eastAsia" w:ascii="Times New Roman" w:hAnsi="Times New Roman" w:cs="Times New Roman"/>
                <w:color w:val="000000" w:themeColor="text1"/>
                <w:sz w:val="21"/>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left"/>
              <w:rPr>
                <w:rFonts w:hint="default" w:ascii="Times New Roman" w:hAnsi="Times New Roman" w:eastAsia="黑体" w:cs="Times New Roman"/>
                <w:color w:val="000000" w:themeColor="text1"/>
                <w:sz w:val="21"/>
                <w:szCs w:val="18"/>
                <w:lang w:val="en-US" w:eastAsia="zh-CN"/>
                <w14:textFill>
                  <w14:solidFill>
                    <w14:schemeClr w14:val="tx1"/>
                  </w14:solidFill>
                </w14:textFill>
              </w:rPr>
            </w:pPr>
            <w:r>
              <w:rPr>
                <w:rFonts w:hint="eastAsia" w:ascii="Times New Roman" w:hAnsi="Times New Roman" w:eastAsia="黑体" w:cs="Times New Roman"/>
                <w:color w:val="000000" w:themeColor="text1"/>
                <w:sz w:val="21"/>
                <w:szCs w:val="18"/>
                <w:lang w:val="en-US" w:eastAsia="zh-CN"/>
                <w14:textFill>
                  <w14:solidFill>
                    <w14:schemeClr w14:val="tx1"/>
                  </w14:solidFill>
                </w14:textFill>
              </w:rPr>
              <w:t>2100001</w:t>
            </w:r>
          </w:p>
        </w:tc>
        <w:tc>
          <w:tcPr>
            <w:tcW w:w="2126"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课程学分</w:t>
            </w:r>
          </w:p>
        </w:tc>
        <w:tc>
          <w:tcPr>
            <w:tcW w:w="2199" w:type="dxa"/>
            <w:gridSpan w:val="3"/>
            <w:tcBorders>
              <w:right w:val="single" w:color="auto" w:sz="12" w:space="0"/>
            </w:tcBorders>
            <w:vAlign w:val="center"/>
          </w:tcPr>
          <w:p>
            <w:pPr>
              <w:widowControl w:val="0"/>
              <w:jc w:val="left"/>
              <w:rPr>
                <w:rFonts w:hint="eastAsia" w:ascii="黑体" w:hAnsi="黑体" w:eastAsia="黑体"/>
                <w:color w:val="000000" w:themeColor="text1"/>
                <w:sz w:val="21"/>
                <w:szCs w:val="18"/>
                <w:lang w:val="en-US" w:eastAsia="zh-CN"/>
                <w14:textFill>
                  <w14:solidFill>
                    <w14:schemeClr w14:val="tx1"/>
                  </w14:solidFill>
                </w14:textFill>
              </w:rPr>
            </w:pPr>
            <w:r>
              <w:rPr>
                <w:rFonts w:hint="default" w:ascii="Times New Roman" w:hAnsi="Times New Roman" w:eastAsia="黑体" w:cs="Times New Roman"/>
                <w:color w:val="000000" w:themeColor="text1"/>
                <w:sz w:val="21"/>
                <w:szCs w:val="18"/>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left"/>
              <w:rPr>
                <w:rFonts w:hint="default" w:ascii="Times New Roman" w:hAnsi="Times New Roman" w:eastAsia="黑体" w:cs="Times New Roman"/>
                <w:color w:val="000000" w:themeColor="text1"/>
                <w:sz w:val="21"/>
                <w:szCs w:val="18"/>
                <w:lang w:val="en-US" w:eastAsia="zh-CN"/>
                <w14:textFill>
                  <w14:solidFill>
                    <w14:schemeClr w14:val="tx1"/>
                  </w14:solidFill>
                </w14:textFill>
              </w:rPr>
            </w:pPr>
            <w:r>
              <w:rPr>
                <w:rFonts w:hint="default" w:ascii="Times New Roman" w:hAnsi="Times New Roman" w:eastAsia="黑体" w:cs="Times New Roman"/>
                <w:color w:val="000000" w:themeColor="text1"/>
                <w:sz w:val="21"/>
                <w:szCs w:val="18"/>
                <w:lang w:val="en-US" w:eastAsia="zh-CN"/>
                <w14:textFill>
                  <w14:solidFill>
                    <w14:schemeClr w14:val="tx1"/>
                  </w14:solidFill>
                </w14:textFill>
              </w:rPr>
              <w:t>48</w:t>
            </w:r>
          </w:p>
        </w:tc>
        <w:tc>
          <w:tcPr>
            <w:tcW w:w="1067" w:type="dxa"/>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理论学时</w:t>
            </w:r>
          </w:p>
        </w:tc>
        <w:tc>
          <w:tcPr>
            <w:tcW w:w="1059" w:type="dxa"/>
            <w:vAlign w:val="center"/>
          </w:tcPr>
          <w:p>
            <w:pPr>
              <w:widowControl w:val="0"/>
              <w:jc w:val="left"/>
              <w:rPr>
                <w:rFonts w:hint="default" w:ascii="黑体" w:hAnsi="黑体" w:eastAsia="黑体"/>
                <w:color w:val="000000" w:themeColor="text1"/>
                <w:sz w:val="21"/>
                <w:szCs w:val="18"/>
                <w:lang w:val="en-US" w:eastAsia="zh-CN"/>
                <w14:textFill>
                  <w14:solidFill>
                    <w14:schemeClr w14:val="tx1"/>
                  </w14:solidFill>
                </w14:textFill>
              </w:rPr>
            </w:pPr>
            <w:r>
              <w:rPr>
                <w:rFonts w:hint="default" w:ascii="Times New Roman" w:hAnsi="Times New Roman" w:eastAsia="黑体" w:cs="Times New Roman"/>
                <w:color w:val="000000" w:themeColor="text1"/>
                <w:sz w:val="21"/>
                <w:szCs w:val="18"/>
                <w:lang w:val="en-US" w:eastAsia="zh-CN"/>
                <w14:textFill>
                  <w14:solidFill>
                    <w14:schemeClr w14:val="tx1"/>
                  </w14:solidFill>
                </w14:textFill>
              </w:rPr>
              <w:t>48</w:t>
            </w:r>
          </w:p>
        </w:tc>
        <w:tc>
          <w:tcPr>
            <w:tcW w:w="1413"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实践学时</w:t>
            </w:r>
          </w:p>
        </w:tc>
        <w:tc>
          <w:tcPr>
            <w:tcW w:w="786" w:type="dxa"/>
            <w:tcBorders>
              <w:right w:val="single" w:color="auto" w:sz="12" w:space="0"/>
            </w:tcBorders>
            <w:vAlign w:val="center"/>
          </w:tcPr>
          <w:p>
            <w:pPr>
              <w:widowControl w:val="0"/>
              <w:jc w:val="center"/>
              <w:rPr>
                <w:rFonts w:hint="eastAsia" w:ascii="黑体" w:hAnsi="黑体" w:eastAsia="黑体"/>
                <w:color w:val="000000" w:themeColor="text1"/>
                <w:sz w:val="21"/>
                <w:szCs w:val="18"/>
                <w:lang w:val="en-US" w:eastAsia="zh-CN"/>
                <w14:textFill>
                  <w14:solidFill>
                    <w14:schemeClr w14:val="tx1"/>
                  </w14:solidFill>
                </w14:textFill>
              </w:rPr>
            </w:pPr>
            <w:r>
              <w:rPr>
                <w:rFonts w:hint="eastAsia" w:ascii="黑体" w:hAnsi="黑体" w:eastAsia="黑体"/>
                <w:color w:val="000000" w:themeColor="text1"/>
                <w:sz w:val="21"/>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教育</w:t>
            </w:r>
            <w:r>
              <w:rPr>
                <w:rFonts w:hint="eastAsia" w:ascii="宋体" w:hAnsi="宋体" w:eastAsia="宋体" w:cs="宋体"/>
                <w:color w:val="000000" w:themeColor="text1"/>
                <w:sz w:val="21"/>
                <w:szCs w:val="18"/>
                <w14:textFill>
                  <w14:solidFill>
                    <w14:schemeClr w14:val="tx1"/>
                  </w14:solidFill>
                </w14:textFill>
              </w:rPr>
              <w:t>学院</w:t>
            </w:r>
            <w:r>
              <w:rPr>
                <w:rFonts w:hint="eastAsia" w:ascii="宋体" w:hAnsi="宋体" w:eastAsia="宋体" w:cs="宋体"/>
                <w:color w:val="000000" w:themeColor="text1"/>
                <w:sz w:val="21"/>
                <w:szCs w:val="18"/>
                <w:lang w:eastAsia="zh-CN"/>
                <w14:textFill>
                  <w14:solidFill>
                    <w14:schemeClr w14:val="tx1"/>
                  </w14:solidFill>
                </w14:textFill>
              </w:rPr>
              <w:t>（通识教育学院）</w:t>
            </w:r>
          </w:p>
        </w:tc>
        <w:tc>
          <w:tcPr>
            <w:tcW w:w="2126"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适用专业与年级</w:t>
            </w:r>
          </w:p>
        </w:tc>
        <w:tc>
          <w:tcPr>
            <w:tcW w:w="2199" w:type="dxa"/>
            <w:gridSpan w:val="3"/>
            <w:tcBorders>
              <w:right w:val="single" w:color="auto" w:sz="12" w:space="0"/>
            </w:tcBorders>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理工类本科专业，一年级</w:t>
            </w:r>
            <w:r>
              <w:rPr>
                <w:rFonts w:hint="eastAsia" w:cs="宋体"/>
                <w:color w:val="000000" w:themeColor="text1"/>
                <w:sz w:val="21"/>
                <w:szCs w:val="18"/>
                <w:lang w:eastAsia="zh-CN"/>
                <w14:textFill>
                  <w14:solidFill>
                    <w14:schemeClr w14:val="tx1"/>
                  </w14:solidFill>
                </w14:textFill>
              </w:rPr>
              <w:t>或二年级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lang w:val="en-US" w:eastAsia="zh-CN"/>
                <w14:textFill>
                  <w14:solidFill>
                    <w14:schemeClr w14:val="tx1"/>
                  </w14:solidFill>
                </w14:textFill>
              </w:rPr>
              <w:t>公共基础课</w:t>
            </w:r>
          </w:p>
        </w:tc>
        <w:tc>
          <w:tcPr>
            <w:tcW w:w="2126"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考核方式</w:t>
            </w:r>
          </w:p>
        </w:tc>
        <w:tc>
          <w:tcPr>
            <w:tcW w:w="2199" w:type="dxa"/>
            <w:gridSpan w:val="3"/>
            <w:tcBorders>
              <w:right w:val="single" w:color="auto" w:sz="12" w:space="0"/>
            </w:tcBorders>
            <w:vAlign w:val="center"/>
          </w:tcPr>
          <w:p>
            <w:pPr>
              <w:widowControl w:val="0"/>
              <w:jc w:val="left"/>
              <w:rPr>
                <w:rFonts w:hint="eastAsia" w:ascii="宋体" w:hAnsi="宋体" w:eastAsia="宋体" w:cs="宋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hint="eastAsia" w:ascii="黑体" w:hAnsi="黑体" w:eastAsia="宋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w:t>
            </w:r>
            <w:r>
              <w:rPr>
                <w:rFonts w:hint="eastAsia" w:ascii="宋体" w:hAnsi="宋体" w:eastAsia="宋体" w:cs="宋体"/>
                <w:color w:val="000000" w:themeColor="text1"/>
                <w:sz w:val="21"/>
                <w:szCs w:val="18"/>
                <w14:textFill>
                  <w14:solidFill>
                    <w14:schemeClr w14:val="tx1"/>
                  </w14:solidFill>
                </w14:textFill>
              </w:rPr>
              <w:t>大学物理学</w:t>
            </w:r>
            <w:r>
              <w:rPr>
                <w:rFonts w:hint="eastAsia" w:ascii="宋体" w:hAnsi="宋体" w:eastAsia="宋体" w:cs="宋体"/>
                <w:color w:val="000000" w:themeColor="text1"/>
                <w:sz w:val="21"/>
                <w:szCs w:val="18"/>
                <w:lang w:eastAsia="zh-CN"/>
                <w14:textFill>
                  <w14:solidFill>
                    <w14:schemeClr w14:val="tx1"/>
                  </w14:solidFill>
                </w14:textFill>
              </w:rPr>
              <w:t>》王少杰等</w:t>
            </w:r>
            <w:r>
              <w:rPr>
                <w:rFonts w:hint="default" w:ascii="Times New Roman" w:hAnsi="Times New Roman" w:eastAsia="宋体" w:cs="Times New Roman"/>
                <w:color w:val="000000" w:themeColor="text1"/>
                <w:sz w:val="21"/>
                <w:szCs w:val="18"/>
                <w:lang w:val="en-US" w:eastAsia="zh-CN"/>
                <w14:textFill>
                  <w14:solidFill>
                    <w14:schemeClr w14:val="tx1"/>
                  </w14:solidFill>
                </w14:textFill>
              </w:rPr>
              <w:t>ISBN</w:t>
            </w:r>
            <w:r>
              <w:rPr>
                <w:rFonts w:hint="default" w:ascii="Times New Roman" w:hAnsi="Times New Roman" w:eastAsia="宋体" w:cs="Times New Roman"/>
                <w:color w:val="000000" w:themeColor="text1"/>
                <w:sz w:val="21"/>
                <w:szCs w:val="18"/>
                <w14:textFill>
                  <w14:solidFill>
                    <w14:schemeClr w14:val="tx1"/>
                  </w14:solidFill>
                </w14:textFill>
              </w:rPr>
              <w:t>9787040606300</w:t>
            </w:r>
            <w:r>
              <w:rPr>
                <w:rFonts w:hint="eastAsia" w:ascii="Times New Roman" w:hAnsi="Times New Roman" w:cs="Times New Roman"/>
                <w:color w:val="000000" w:themeColor="text1"/>
                <w:sz w:val="21"/>
                <w:szCs w:val="18"/>
                <w:lang w:eastAsia="zh-CN"/>
                <w14:textFill>
                  <w14:solidFill>
                    <w14:schemeClr w14:val="tx1"/>
                  </w14:solidFill>
                </w14:textFill>
              </w:rPr>
              <w:t>，高等教育出版社，第五版</w:t>
            </w:r>
          </w:p>
        </w:tc>
        <w:tc>
          <w:tcPr>
            <w:tcW w:w="1413"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是否为</w:t>
            </w:r>
          </w:p>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马工程教材</w:t>
            </w:r>
          </w:p>
        </w:tc>
        <w:tc>
          <w:tcPr>
            <w:tcW w:w="786" w:type="dxa"/>
            <w:tcBorders>
              <w:right w:val="single" w:color="auto" w:sz="12" w:space="0"/>
            </w:tcBorders>
            <w:vAlign w:val="center"/>
          </w:tcPr>
          <w:p>
            <w:pPr>
              <w:widowControl w:val="0"/>
              <w:jc w:val="center"/>
              <w:rPr>
                <w:rFonts w:hint="eastAsia" w:ascii="黑体" w:hAnsi="黑体" w:eastAsia="黑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widowControl w:val="0"/>
              <w:jc w:val="left"/>
              <w:rPr>
                <w:rFonts w:hint="default" w:ascii="黑体" w:hAnsi="黑体" w:eastAsia="宋体"/>
                <w:color w:val="000000" w:themeColor="text1"/>
                <w:sz w:val="21"/>
                <w:szCs w:val="18"/>
                <w:lang w:val="en-US" w:eastAsia="zh-CN"/>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高等数学（</w:t>
            </w:r>
            <w:r>
              <w:rPr>
                <w:rFonts w:hint="eastAsia" w:cs="宋体"/>
                <w:color w:val="000000" w:themeColor="text1"/>
                <w:sz w:val="21"/>
                <w:szCs w:val="18"/>
                <w:lang w:val="en-US" w:eastAsia="zh-CN"/>
                <w14:textFill>
                  <w14:solidFill>
                    <w14:schemeClr w14:val="tx1"/>
                  </w14:solidFill>
                </w14:textFill>
              </w:rPr>
              <w:t>1</w:t>
            </w:r>
            <w:r>
              <w:rPr>
                <w:rFonts w:hint="eastAsia" w:ascii="宋体" w:hAnsi="宋体" w:eastAsia="宋体" w:cs="宋体"/>
                <w:color w:val="000000" w:themeColor="text1"/>
                <w:sz w:val="21"/>
                <w:szCs w:val="18"/>
                <w14:textFill>
                  <w14:solidFill>
                    <w14:schemeClr w14:val="tx1"/>
                  </w14:solidFill>
                </w14:textFill>
              </w:rPr>
              <w:t>）</w:t>
            </w:r>
            <w:r>
              <w:rPr>
                <w:rFonts w:hint="eastAsia" w:cs="宋体"/>
                <w:color w:val="000000" w:themeColor="text1"/>
                <w:sz w:val="21"/>
                <w:szCs w:val="18"/>
                <w:lang w:eastAsia="zh-CN"/>
                <w14:textFill>
                  <w14:solidFill>
                    <w14:schemeClr w14:val="tx1"/>
                  </w14:solidFill>
                </w14:textFill>
              </w:rPr>
              <w:t>理工类</w:t>
            </w:r>
            <w:r>
              <w:rPr>
                <w:rFonts w:hint="default" w:ascii="Times New Roman" w:hAnsi="Times New Roman" w:cs="Times New Roman"/>
                <w:color w:val="000000" w:themeColor="text1"/>
                <w:sz w:val="21"/>
                <w:szCs w:val="18"/>
                <w:lang w:val="en-US" w:eastAsia="zh-CN"/>
                <w14:textFill>
                  <w14:solidFill>
                    <w14:schemeClr w14:val="tx1"/>
                  </w14:solidFill>
                </w14:textFill>
              </w:rPr>
              <w:t>2100013（6）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ind w:firstLine="420" w:firstLineChars="200"/>
              <w:jc w:val="left"/>
              <w:rPr>
                <w:rFonts w:hint="default" w:ascii="Times New Roman" w:hAnsi="Times New Roman" w:cs="Times New Roman"/>
                <w:color w:val="000000" w:themeColor="text1"/>
                <w:sz w:val="21"/>
                <w:szCs w:val="18"/>
                <w:lang w:eastAsia="zh-CN"/>
                <w14:textFill>
                  <w14:solidFill>
                    <w14:schemeClr w14:val="tx1"/>
                  </w14:solidFill>
                </w14:textFill>
              </w:rPr>
            </w:pPr>
            <w:r>
              <w:rPr>
                <w:rFonts w:hint="default" w:ascii="Times New Roman" w:hAnsi="Times New Roman" w:cs="Times New Roman"/>
                <w:color w:val="000000" w:themeColor="text1"/>
                <w:sz w:val="21"/>
                <w:szCs w:val="18"/>
                <w:lang w:eastAsia="zh-CN"/>
                <w14:textFill>
                  <w14:solidFill>
                    <w14:schemeClr w14:val="tx1"/>
                  </w14:solidFill>
                </w14:textFill>
              </w:rPr>
              <w:t>物理学是研究物质基本结构、基本运动形式、相互作用及其转化规律的自然科学。它的基本理论渗透在自然学科的各个领域，应用于生产技术的各个方面，是其他自然科学和工程技术的基础。</w:t>
            </w:r>
          </w:p>
          <w:p>
            <w:pPr>
              <w:widowControl w:val="0"/>
              <w:ind w:firstLine="420" w:firstLineChars="200"/>
              <w:jc w:val="left"/>
              <w:rPr>
                <w:rFonts w:hint="default" w:ascii="Times New Roman" w:hAnsi="Times New Roman" w:cs="Times New Roman"/>
                <w:color w:val="000000" w:themeColor="text1"/>
                <w:sz w:val="21"/>
                <w:szCs w:val="18"/>
                <w:lang w:eastAsia="zh-CN"/>
                <w14:textFill>
                  <w14:solidFill>
                    <w14:schemeClr w14:val="tx1"/>
                  </w14:solidFill>
                </w14:textFill>
              </w:rPr>
            </w:pPr>
            <w:r>
              <w:rPr>
                <w:rFonts w:hint="default" w:ascii="Times New Roman" w:hAnsi="Times New Roman" w:cs="Times New Roman"/>
                <w:color w:val="000000" w:themeColor="text1"/>
                <w:sz w:val="21"/>
                <w:szCs w:val="18"/>
                <w:lang w:eastAsia="zh-CN"/>
                <w14:textFill>
                  <w14:solidFill>
                    <w14:schemeClr w14:val="tx1"/>
                  </w14:solidFill>
                </w14:textFill>
              </w:rPr>
              <w:t>《大学物理（</w:t>
            </w:r>
            <w:r>
              <w:rPr>
                <w:rFonts w:hint="default" w:ascii="Times New Roman" w:hAnsi="Times New Roman" w:cs="Times New Roman"/>
                <w:color w:val="000000" w:themeColor="text1"/>
                <w:sz w:val="21"/>
                <w:szCs w:val="18"/>
                <w:lang w:val="en-US" w:eastAsia="zh-CN"/>
                <w14:textFill>
                  <w14:solidFill>
                    <w14:schemeClr w14:val="tx1"/>
                  </w14:solidFill>
                </w14:textFill>
              </w:rPr>
              <w:t>1</w:t>
            </w:r>
            <w:r>
              <w:rPr>
                <w:rFonts w:hint="default" w:ascii="Times New Roman" w:hAnsi="Times New Roman" w:cs="Times New Roman"/>
                <w:color w:val="000000" w:themeColor="text1"/>
                <w:sz w:val="21"/>
                <w:szCs w:val="18"/>
                <w:lang w:eastAsia="zh-CN"/>
                <w14:textFill>
                  <w14:solidFill>
                    <w14:schemeClr w14:val="tx1"/>
                  </w14:solidFill>
                </w14:textFill>
              </w:rPr>
              <w:t>）》</w:t>
            </w:r>
            <w:r>
              <w:rPr>
                <w:rFonts w:hint="default" w:ascii="Times New Roman" w:hAnsi="Times New Roman" w:cs="Times New Roman"/>
                <w:color w:val="000000" w:themeColor="text1"/>
                <w:sz w:val="21"/>
                <w:szCs w:val="18"/>
                <w:lang w:val="en-US" w:eastAsia="zh-CN"/>
                <w14:textFill>
                  <w14:solidFill>
                    <w14:schemeClr w14:val="tx1"/>
                  </w14:solidFill>
                </w14:textFill>
              </w:rPr>
              <w:t>课程系统地阐述了物理学中力学和</w:t>
            </w:r>
            <w:r>
              <w:rPr>
                <w:rFonts w:hint="default" w:ascii="Times New Roman" w:hAnsi="Times New Roman" w:cs="Times New Roman"/>
                <w:color w:val="000000" w:themeColor="text1"/>
                <w:sz w:val="21"/>
                <w:szCs w:val="18"/>
                <w:lang w:eastAsia="zh-CN"/>
                <w14:textFill>
                  <w14:solidFill>
                    <w14:schemeClr w14:val="tx1"/>
                  </w14:solidFill>
                </w14:textFill>
              </w:rPr>
              <w:t>电磁学</w:t>
            </w:r>
            <w:r>
              <w:rPr>
                <w:rFonts w:hint="default" w:ascii="Times New Roman" w:hAnsi="Times New Roman" w:cs="Times New Roman"/>
                <w:color w:val="000000" w:themeColor="text1"/>
                <w:sz w:val="21"/>
                <w:szCs w:val="18"/>
                <w:lang w:val="en-US" w:eastAsia="zh-CN"/>
                <w14:textFill>
                  <w14:solidFill>
                    <w14:schemeClr w14:val="tx1"/>
                  </w14:solidFill>
                </w14:textFill>
              </w:rPr>
              <w:t>的基本概念、基本理论和基本方法。力学包括质点运动学、牛顿定律、动量定理和能量守恒定律、刚体转动；</w:t>
            </w:r>
            <w:r>
              <w:rPr>
                <w:rFonts w:hint="default" w:ascii="Times New Roman" w:hAnsi="Times New Roman" w:cs="Times New Roman"/>
                <w:color w:val="000000" w:themeColor="text1"/>
                <w:sz w:val="21"/>
                <w:szCs w:val="18"/>
                <w:lang w:eastAsia="zh-CN"/>
                <w14:textFill>
                  <w14:solidFill>
                    <w14:schemeClr w14:val="tx1"/>
                  </w14:solidFill>
                </w14:textFill>
              </w:rPr>
              <w:t>电磁学</w:t>
            </w:r>
            <w:r>
              <w:rPr>
                <w:rFonts w:hint="default" w:ascii="Times New Roman" w:hAnsi="Times New Roman" w:cs="Times New Roman"/>
                <w:color w:val="000000" w:themeColor="text1"/>
                <w:sz w:val="21"/>
                <w:szCs w:val="18"/>
                <w:lang w:val="en-US" w:eastAsia="zh-CN"/>
                <w14:textFill>
                  <w14:solidFill>
                    <w14:schemeClr w14:val="tx1"/>
                  </w14:solidFill>
                </w14:textFill>
              </w:rPr>
              <w:t>包括</w:t>
            </w:r>
            <w:r>
              <w:rPr>
                <w:rFonts w:hint="default" w:ascii="Times New Roman" w:hAnsi="Times New Roman" w:cs="Times New Roman"/>
                <w:color w:val="000000" w:themeColor="text1"/>
                <w:sz w:val="21"/>
                <w:szCs w:val="18"/>
                <w:lang w:eastAsia="zh-CN"/>
                <w14:textFill>
                  <w14:solidFill>
                    <w14:schemeClr w14:val="tx1"/>
                  </w14:solidFill>
                </w14:textFill>
              </w:rPr>
              <w:t>电荷与电场、电流与磁场。</w:t>
            </w:r>
          </w:p>
          <w:p>
            <w:pPr>
              <w:widowControl w:val="0"/>
              <w:ind w:firstLine="420" w:firstLineChars="200"/>
              <w:jc w:val="left"/>
              <w:rPr>
                <w:rFonts w:hint="default" w:ascii="Times New Roman" w:hAnsi="Times New Roman" w:cs="Times New Roman"/>
                <w:color w:val="000000" w:themeColor="text1"/>
                <w:sz w:val="21"/>
                <w:szCs w:val="18"/>
                <w:lang w:eastAsia="zh-CN"/>
                <w14:textFill>
                  <w14:solidFill>
                    <w14:schemeClr w14:val="tx1"/>
                  </w14:solidFill>
                </w14:textFill>
              </w:rPr>
            </w:pPr>
            <w:r>
              <w:rPr>
                <w:rFonts w:hint="default" w:ascii="Times New Roman" w:hAnsi="Times New Roman" w:cs="Times New Roman"/>
                <w:color w:val="000000" w:themeColor="text1"/>
                <w:sz w:val="21"/>
                <w:szCs w:val="18"/>
                <w:lang w:eastAsia="zh-CN"/>
                <w14:textFill>
                  <w14:solidFill>
                    <w14:schemeClr w14:val="tx1"/>
                  </w14:solidFill>
                </w14:textFill>
              </w:rPr>
              <w:t>通过本课程的学习，使学生掌握力学和电磁学的基本概念、基本理论和基本规律，能运用物理学知识解释自然科学问题，通过进一步深入学习能够分析和解决专业工程中的遇到的物理问题。</w:t>
            </w:r>
          </w:p>
          <w:p>
            <w:pPr>
              <w:widowControl w:val="0"/>
              <w:ind w:firstLine="420" w:firstLineChars="200"/>
              <w:jc w:val="left"/>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cs="Times New Roman"/>
                <w:color w:val="000000" w:themeColor="text1"/>
                <w:sz w:val="21"/>
                <w:szCs w:val="18"/>
                <w:lang w:eastAsia="zh-CN"/>
                <w14:textFill>
                  <w14:solidFill>
                    <w14:schemeClr w14:val="tx1"/>
                  </w14:solidFill>
                </w14:textFill>
              </w:rPr>
              <w:t>教学中同时把课程思政有效地融入其中，培养学生建立辨证唯物主义世界观，</w:t>
            </w:r>
            <w:r>
              <w:rPr>
                <w:rFonts w:hint="default" w:ascii="Times New Roman" w:hAnsi="Times New Roman" w:cs="Times New Roman" w:eastAsiaTheme="majorEastAsia"/>
                <w:bCs/>
                <w:kern w:val="0"/>
                <w:sz w:val="21"/>
                <w:szCs w:val="21"/>
                <w:lang w:val="en-US" w:eastAsia="zh-CN"/>
              </w:rPr>
              <w:t>使学生在学习物理学知识的同时,逐步建立正确的思想方法和研究方法；培养学生 探索未知、追求真理、勇攀科学高峰的责任感和使命感</w:t>
            </w:r>
            <w:r>
              <w:rPr>
                <w:rFonts w:hint="default" w:ascii="Times New Roman" w:hAnsi="Times New Roman" w:cs="Times New Roman"/>
                <w:color w:val="000000" w:themeColor="text1"/>
                <w:sz w:val="21"/>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36"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jc w:val="left"/>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cs="Times New Roman" w:eastAsiaTheme="minorEastAsia"/>
                <w:color w:val="000000" w:themeColor="text1"/>
                <w:sz w:val="21"/>
                <w:szCs w:val="18"/>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18"/>
                <w14:textFill>
                  <w14:solidFill>
                    <w14:schemeClr w14:val="tx1"/>
                  </w14:solidFill>
                </w14:textFill>
              </w:rPr>
              <w:t>适合理工类本科</w:t>
            </w:r>
            <w:r>
              <w:rPr>
                <w:rFonts w:hint="default" w:ascii="Times New Roman" w:hAnsi="Times New Roman" w:cs="Times New Roman" w:eastAsiaTheme="minorEastAsia"/>
                <w:color w:val="000000" w:themeColor="text1"/>
                <w:sz w:val="21"/>
                <w:szCs w:val="18"/>
                <w:lang w:eastAsia="zh-CN"/>
                <w14:textFill>
                  <w14:solidFill>
                    <w14:schemeClr w14:val="tx1"/>
                  </w14:solidFill>
                </w14:textFill>
              </w:rPr>
              <w:t>并且培养计划中大学物理上两个学期的专业，建议</w:t>
            </w:r>
            <w:r>
              <w:rPr>
                <w:rFonts w:hint="default" w:ascii="Times New Roman" w:hAnsi="Times New Roman" w:cs="Times New Roman" w:eastAsiaTheme="minorEastAsia"/>
                <w:color w:val="000000" w:themeColor="text1"/>
                <w:sz w:val="21"/>
                <w:szCs w:val="18"/>
                <w14:textFill>
                  <w14:solidFill>
                    <w14:schemeClr w14:val="tx1"/>
                  </w14:solidFill>
                </w14:textFill>
              </w:rPr>
              <w:t>在一年级第二学期</w:t>
            </w:r>
            <w:r>
              <w:rPr>
                <w:rFonts w:hint="default" w:ascii="Times New Roman" w:hAnsi="Times New Roman" w:cs="Times New Roman" w:eastAsiaTheme="minorEastAsia"/>
                <w:color w:val="000000" w:themeColor="text1"/>
                <w:sz w:val="21"/>
                <w:szCs w:val="18"/>
                <w:lang w:eastAsia="zh-CN"/>
                <w14:textFill>
                  <w14:solidFill>
                    <w14:schemeClr w14:val="tx1"/>
                  </w14:solidFill>
                </w14:textFill>
              </w:rPr>
              <w:t>或二年级第一学期</w:t>
            </w:r>
            <w:r>
              <w:rPr>
                <w:rFonts w:hint="default" w:ascii="Times New Roman" w:hAnsi="Times New Roman" w:cs="Times New Roman" w:eastAsiaTheme="minorEastAsia"/>
                <w:color w:val="000000" w:themeColor="text1"/>
                <w:sz w:val="21"/>
                <w:szCs w:val="18"/>
                <w14:textFill>
                  <w14:solidFill>
                    <w14:schemeClr w14:val="tx1"/>
                  </w14:solidFill>
                </w14:textFill>
              </w:rPr>
              <w:t>学习，要求</w:t>
            </w:r>
            <w:r>
              <w:rPr>
                <w:rFonts w:hint="default" w:ascii="Times New Roman" w:hAnsi="Times New Roman" w:cs="Times New Roman" w:eastAsiaTheme="minorEastAsia"/>
                <w:color w:val="000000" w:themeColor="text1"/>
                <w:sz w:val="21"/>
                <w:szCs w:val="18"/>
                <w:lang w:eastAsia="zh-CN"/>
                <w14:textFill>
                  <w14:solidFill>
                    <w14:schemeClr w14:val="tx1"/>
                  </w14:solidFill>
                </w14:textFill>
              </w:rPr>
              <w:t>有</w:t>
            </w:r>
            <w:r>
              <w:rPr>
                <w:rFonts w:hint="default" w:ascii="Times New Roman" w:hAnsi="Times New Roman" w:cs="Times New Roman" w:eastAsiaTheme="minorEastAsia"/>
                <w:color w:val="000000" w:themeColor="text1"/>
                <w:sz w:val="21"/>
                <w:szCs w:val="18"/>
                <w14:textFill>
                  <w14:solidFill>
                    <w14:schemeClr w14:val="tx1"/>
                  </w14:solidFill>
                </w14:textFill>
              </w:rPr>
              <w:t>高中物理和高等数学的基础。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91"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327"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59264" behindDoc="0" locked="0" layoutInCell="1" allowOverlap="1">
                  <wp:simplePos x="0" y="0"/>
                  <wp:positionH relativeFrom="column">
                    <wp:posOffset>471170</wp:posOffset>
                  </wp:positionH>
                  <wp:positionV relativeFrom="paragraph">
                    <wp:posOffset>-13970</wp:posOffset>
                  </wp:positionV>
                  <wp:extent cx="774700" cy="393065"/>
                  <wp:effectExtent l="0" t="0" r="6350" b="6985"/>
                  <wp:wrapNone/>
                  <wp:docPr id="2" name="图片 2" descr="3004da98d5f78f00443c9ab3344b8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004da98d5f78f00443c9ab3344b8c3"/>
                          <pic:cNvPicPr>
                            <a:picLocks noChangeAspect="1"/>
                          </pic:cNvPicPr>
                        </pic:nvPicPr>
                        <pic:blipFill>
                          <a:blip r:embed="rId5"/>
                          <a:stretch>
                            <a:fillRect/>
                          </a:stretch>
                        </pic:blipFill>
                        <pic:spPr>
                          <a:xfrm>
                            <a:off x="0" y="0"/>
                            <a:ext cx="774700" cy="393065"/>
                          </a:xfrm>
                          <a:prstGeom prst="rect">
                            <a:avLst/>
                          </a:prstGeom>
                        </pic:spPr>
                      </pic:pic>
                    </a:graphicData>
                  </a:graphic>
                </wp:anchor>
              </w:drawing>
            </w:r>
            <w:r>
              <w:rPr>
                <w:rFonts w:hint="eastAsia"/>
                <w:sz w:val="21"/>
                <w:szCs w:val="21"/>
              </w:rPr>
              <w:t>（签名）</w:t>
            </w:r>
          </w:p>
        </w:tc>
        <w:tc>
          <w:tcPr>
            <w:tcW w:w="1500"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758" w:type="dxa"/>
            <w:gridSpan w:val="2"/>
            <w:tcBorders>
              <w:top w:val="double" w:color="auto" w:sz="4" w:space="0"/>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327"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382270</wp:posOffset>
                  </wp:positionH>
                  <wp:positionV relativeFrom="paragraph">
                    <wp:posOffset>-65405</wp:posOffset>
                  </wp:positionV>
                  <wp:extent cx="809625" cy="400050"/>
                  <wp:effectExtent l="0" t="0" r="9525" b="0"/>
                  <wp:wrapNone/>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6"/>
                          <a:stretch>
                            <a:fillRect/>
                          </a:stretch>
                        </pic:blipFill>
                        <pic:spPr>
                          <a:xfrm>
                            <a:off x="0" y="0"/>
                            <a:ext cx="809625" cy="400050"/>
                          </a:xfrm>
                          <a:prstGeom prst="rect">
                            <a:avLst/>
                          </a:prstGeom>
                          <a:noFill/>
                          <a:ln>
                            <a:noFill/>
                          </a:ln>
                        </pic:spPr>
                      </pic:pic>
                    </a:graphicData>
                  </a:graphic>
                </wp:anchor>
              </w:drawing>
            </w:r>
            <w:r>
              <w:rPr>
                <w:rFonts w:hint="eastAsia"/>
                <w:sz w:val="21"/>
                <w:szCs w:val="21"/>
              </w:rPr>
              <w:t>（签名）</w:t>
            </w:r>
          </w:p>
        </w:tc>
        <w:tc>
          <w:tcPr>
            <w:tcW w:w="1500"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75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2024年3月18日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327"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500"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75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562"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rPr>
            </w:pPr>
            <w:r>
              <w:rPr>
                <w:rFonts w:hint="default" w:ascii="Times New Roman" w:hAnsi="Times New Roman" w:eastAsia="宋体" w:cs="Times New Roman"/>
                <w:bCs/>
                <w:color w:val="000000"/>
                <w:sz w:val="21"/>
                <w:szCs w:val="18"/>
              </w:rPr>
              <w:t>1</w:t>
            </w:r>
          </w:p>
        </w:tc>
        <w:tc>
          <w:tcPr>
            <w:tcW w:w="6459" w:type="dxa"/>
            <w:vAlign w:val="center"/>
          </w:tcPr>
          <w:p>
            <w:pPr>
              <w:keepNext w:val="0"/>
              <w:keepLines w:val="0"/>
              <w:widowControl/>
              <w:suppressLineNumbers w:val="0"/>
              <w:jc w:val="left"/>
              <w:rPr>
                <w:rFonts w:hint="default" w:ascii="Times New Roman" w:hAnsi="Times New Roman" w:cs="Times New Roman"/>
                <w:b/>
                <w:bCs w:val="0"/>
                <w:color w:val="000000"/>
                <w:sz w:val="21"/>
                <w:szCs w:val="18"/>
                <w:lang w:val="en-US" w:eastAsia="zh-CN"/>
              </w:rPr>
            </w:pPr>
            <w:r>
              <w:rPr>
                <w:rFonts w:hint="default" w:ascii="Times New Roman" w:hAnsi="Times New Roman" w:cs="Times New Roman"/>
                <w:b/>
                <w:bCs w:val="0"/>
                <w:color w:val="000000"/>
                <w:sz w:val="21"/>
                <w:szCs w:val="18"/>
                <w:lang w:val="en-US" w:eastAsia="zh-CN"/>
              </w:rPr>
              <w:t>掌握力学和电磁学的基本概念、基本理论和基本方法。</w:t>
            </w:r>
          </w:p>
          <w:p>
            <w:pPr>
              <w:keepNext w:val="0"/>
              <w:keepLines w:val="0"/>
              <w:widowControl/>
              <w:suppressLineNumbers w:val="0"/>
              <w:jc w:val="left"/>
              <w:rPr>
                <w:rFonts w:hint="default" w:ascii="Times New Roman" w:hAnsi="Times New Roman" w:eastAsia="宋体" w:cs="Times New Roman"/>
                <w:bCs/>
                <w:color w:val="000000"/>
                <w:sz w:val="21"/>
                <w:szCs w:val="18"/>
              </w:rPr>
            </w:pPr>
            <w:r>
              <w:rPr>
                <w:rFonts w:hint="default" w:ascii="Times New Roman" w:hAnsi="Times New Roman" w:cs="Times New Roman"/>
                <w:bCs/>
                <w:color w:val="000000"/>
                <w:sz w:val="21"/>
                <w:szCs w:val="18"/>
                <w:lang w:val="en-US" w:eastAsia="zh-CN"/>
              </w:rPr>
              <w:t>使学生对力学和电磁学的基本概念、基本原理和基本规律有较全面系统地认识，了解各种运动形式之间的联系以及物理学的近现代发展和成就。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36"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lang w:eastAsia="zh-CN"/>
              </w:rPr>
            </w:pPr>
            <w:r>
              <w:rPr>
                <w:rFonts w:hint="default" w:ascii="Times New Roman" w:hAnsi="Times New Roman" w:eastAsia="宋体" w:cs="Times New Roman"/>
                <w:bCs/>
                <w:color w:val="000000"/>
                <w:sz w:val="21"/>
                <w:szCs w:val="18"/>
                <w:lang w:val="en-US" w:eastAsia="zh-CN"/>
              </w:rPr>
              <w:t>2</w:t>
            </w:r>
          </w:p>
        </w:tc>
        <w:tc>
          <w:tcPr>
            <w:tcW w:w="6459" w:type="dxa"/>
            <w:vAlign w:val="center"/>
          </w:tcPr>
          <w:p>
            <w:pPr>
              <w:keepNext w:val="0"/>
              <w:keepLines w:val="0"/>
              <w:widowControl/>
              <w:suppressLineNumbers w:val="0"/>
              <w:jc w:val="left"/>
              <w:rPr>
                <w:rFonts w:hint="default" w:ascii="Times New Roman" w:hAnsi="Times New Roman" w:cs="Times New Roman"/>
                <w:b/>
                <w:bCs w:val="0"/>
                <w:color w:val="000000"/>
                <w:sz w:val="21"/>
                <w:szCs w:val="18"/>
                <w:lang w:val="en-US" w:eastAsia="zh-CN"/>
              </w:rPr>
            </w:pPr>
            <w:r>
              <w:rPr>
                <w:rFonts w:hint="default" w:ascii="Times New Roman" w:hAnsi="Times New Roman" w:cs="Times New Roman"/>
                <w:b/>
                <w:bCs w:val="0"/>
                <w:color w:val="000000"/>
                <w:sz w:val="21"/>
                <w:szCs w:val="18"/>
                <w:lang w:val="en-US" w:eastAsia="zh-CN"/>
              </w:rPr>
              <w:t xml:space="preserve">进行科学思维方法和运算能力的训练。 </w:t>
            </w:r>
          </w:p>
          <w:p>
            <w:pPr>
              <w:keepNext w:val="0"/>
              <w:keepLines w:val="0"/>
              <w:widowControl/>
              <w:suppressLineNumbers w:val="0"/>
              <w:jc w:val="left"/>
              <w:rPr>
                <w:rFonts w:hint="default" w:ascii="Times New Roman" w:hAnsi="Times New Roman" w:eastAsia="宋体" w:cs="Times New Roman"/>
                <w:bCs/>
                <w:color w:val="000000"/>
                <w:sz w:val="21"/>
                <w:szCs w:val="18"/>
              </w:rPr>
            </w:pPr>
            <w:r>
              <w:rPr>
                <w:rFonts w:hint="default" w:ascii="Times New Roman" w:hAnsi="Times New Roman" w:cs="Times New Roman"/>
                <w:bCs/>
                <w:color w:val="000000"/>
                <w:sz w:val="21"/>
                <w:szCs w:val="18"/>
                <w:lang w:val="en-US" w:eastAsia="zh-CN"/>
              </w:rPr>
              <w:t>使学生在运算能力、抽象思维能力和对世界的认识能力等方面受到初步训练；熟悉研究物理学的基本思想和基本方法；培养学生判断、推理、归纳的逻辑思维 能力；细致、敏锐、准确的观察能力、想象创造力，逐步建立科学思维方法和运算能力。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505" w:hRule="atLeast"/>
          <w:jc w:val="center"/>
        </w:trPr>
        <w:tc>
          <w:tcPr>
            <w:tcW w:w="1235" w:type="dxa"/>
            <w:vMerge w:val="continue"/>
            <w:vAlign w:val="center"/>
          </w:tcPr>
          <w:p>
            <w:pPr>
              <w:snapToGrid w:val="0"/>
              <w:jc w:val="center"/>
              <w:rPr>
                <w:rFonts w:hint="eastAsia" w:ascii="黑体" w:hAnsi="黑体" w:eastAsia="黑体"/>
                <w:bCs/>
                <w:color w:val="000000"/>
                <w:sz w:val="21"/>
                <w:szCs w:val="18"/>
              </w:rPr>
            </w:pP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lang w:val="en-US" w:eastAsia="zh-CN"/>
              </w:rPr>
            </w:pPr>
            <w:r>
              <w:rPr>
                <w:rFonts w:hint="default" w:ascii="Times New Roman" w:hAnsi="Times New Roman" w:eastAsia="宋体" w:cs="Times New Roman"/>
                <w:bCs/>
                <w:color w:val="000000"/>
                <w:sz w:val="21"/>
                <w:szCs w:val="18"/>
                <w:lang w:val="en-US" w:eastAsia="zh-CN"/>
              </w:rPr>
              <w:t>3</w:t>
            </w:r>
          </w:p>
        </w:tc>
        <w:tc>
          <w:tcPr>
            <w:tcW w:w="6459" w:type="dxa"/>
            <w:vAlign w:val="center"/>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
                <w:bCs w:val="0"/>
                <w:color w:val="000000"/>
                <w:sz w:val="21"/>
                <w:szCs w:val="18"/>
                <w:lang w:val="en-US" w:eastAsia="zh-CN"/>
              </w:rPr>
              <w:t>应用物理学基本原理对工程问题建模和解决问题。</w:t>
            </w:r>
            <w:r>
              <w:rPr>
                <w:rFonts w:hint="default" w:ascii="Times New Roman" w:hAnsi="Times New Roman" w:cs="Times New Roman"/>
                <w:bCs/>
                <w:color w:val="000000"/>
                <w:sz w:val="21"/>
                <w:szCs w:val="18"/>
                <w:lang w:val="en-US" w:eastAsia="zh-CN"/>
              </w:rPr>
              <w:t xml:space="preserve"> </w:t>
            </w:r>
          </w:p>
          <w:p>
            <w:pPr>
              <w:keepNext w:val="0"/>
              <w:keepLines w:val="0"/>
              <w:widowControl/>
              <w:suppressLineNumbers w:val="0"/>
              <w:jc w:val="left"/>
              <w:rPr>
                <w:rFonts w:hint="default" w:ascii="Times New Roman" w:hAnsi="Times New Roman" w:eastAsia="宋体"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培养学生分析问题和解决问题的能力，使学生在学习物理学知识的同时,能够具有运用物理学原理处理、解决实际问题的能力。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lang w:eastAsia="zh-CN"/>
              </w:rPr>
            </w:pPr>
            <w:r>
              <w:rPr>
                <w:rFonts w:hint="default" w:ascii="Times New Roman" w:hAnsi="Times New Roman" w:eastAsia="宋体" w:cs="Times New Roman"/>
                <w:bCs/>
                <w:color w:val="000000"/>
                <w:sz w:val="21"/>
                <w:szCs w:val="18"/>
                <w:lang w:val="en-US" w:eastAsia="zh-CN"/>
              </w:rPr>
              <w:t>4</w:t>
            </w:r>
          </w:p>
        </w:tc>
        <w:tc>
          <w:tcPr>
            <w:tcW w:w="6459" w:type="dxa"/>
            <w:vAlign w:val="center"/>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
                <w:bCs w:val="0"/>
                <w:color w:val="000000"/>
                <w:sz w:val="21"/>
                <w:szCs w:val="18"/>
                <w:lang w:val="en-US" w:eastAsia="zh-CN"/>
              </w:rPr>
              <w:t>结合辩证唯物主义培养学生的科学精神和科学素质。</w:t>
            </w:r>
            <w:r>
              <w:rPr>
                <w:rFonts w:hint="default" w:ascii="Times New Roman" w:hAnsi="Times New Roman" w:cs="Times New Roman"/>
                <w:bCs/>
                <w:color w:val="000000"/>
                <w:sz w:val="21"/>
                <w:szCs w:val="18"/>
                <w:lang w:val="en-US" w:eastAsia="zh-CN"/>
              </w:rPr>
              <w:t xml:space="preserve"> </w:t>
            </w:r>
          </w:p>
          <w:p>
            <w:pPr>
              <w:keepNext w:val="0"/>
              <w:keepLines w:val="0"/>
              <w:widowControl/>
              <w:suppressLineNumbers w:val="0"/>
              <w:jc w:val="left"/>
              <w:rPr>
                <w:rFonts w:hint="default" w:ascii="Times New Roman" w:hAnsi="Times New Roman" w:eastAsia="宋体" w:cs="Times New Roman"/>
                <w:bCs/>
                <w:color w:val="000000"/>
                <w:sz w:val="21"/>
                <w:szCs w:val="18"/>
              </w:rPr>
            </w:pPr>
            <w:r>
              <w:rPr>
                <w:rFonts w:hint="default" w:ascii="Times New Roman" w:hAnsi="Times New Roman" w:cs="Times New Roman"/>
                <w:bCs/>
                <w:color w:val="000000"/>
                <w:sz w:val="21"/>
                <w:szCs w:val="18"/>
                <w:lang w:val="en-US" w:eastAsia="zh-CN"/>
              </w:rPr>
              <w:t>充分发挥本课程在培养学生辩证唯物主义世界观方面的作用,进行课程思政教育。作为处在当今科学、社会高速发展阶段的大学生，不仅应通过学习中国古人的物理学智慧培养学生的民族自豪感，同时应通过学习老一辈物理学家的爱国奉献精神，树立正确的人生观，坚定共产主义信念和社会主义核心价值观。</w:t>
            </w:r>
          </w:p>
        </w:tc>
      </w:tr>
    </w:tbl>
    <w:p>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L01品德修养①爱党爱国，坚决拥护党的领导，热爱祖国的大好河山、悠久历史、灿烂文化，自觉维护民族利益和国家尊严。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L</w:t>
            </w:r>
            <w:r>
              <w:rPr>
                <w:rFonts w:hint="eastAsia" w:ascii="Times New Roman" w:hAnsi="Times New Roman" w:cs="Times New Roman"/>
                <w:bCs/>
                <w:color w:val="000000"/>
                <w:sz w:val="21"/>
                <w:szCs w:val="18"/>
                <w:lang w:val="en-US" w:eastAsia="zh-CN"/>
              </w:rPr>
              <w:t>0</w:t>
            </w:r>
            <w:r>
              <w:rPr>
                <w:rFonts w:hint="default" w:ascii="Times New Roman" w:hAnsi="Times New Roman" w:cs="Times New Roman"/>
                <w:bCs/>
                <w:color w:val="000000"/>
                <w:sz w:val="21"/>
                <w:szCs w:val="18"/>
                <w:lang w:val="en-US" w:eastAsia="zh-CN"/>
              </w:rPr>
              <w:t>2专业能力①具有专业所需的人文科学素养。</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L</w:t>
            </w:r>
            <w:r>
              <w:rPr>
                <w:rFonts w:hint="eastAsia" w:ascii="Times New Roman" w:hAnsi="Times New Roman" w:cs="Times New Roman"/>
                <w:bCs/>
                <w:color w:val="000000"/>
                <w:sz w:val="21"/>
                <w:szCs w:val="18"/>
                <w:lang w:val="en-US" w:eastAsia="zh-CN"/>
              </w:rPr>
              <w:t>0</w:t>
            </w:r>
            <w:bookmarkStart w:id="6" w:name="_GoBack"/>
            <w:bookmarkEnd w:id="6"/>
            <w:r>
              <w:rPr>
                <w:rFonts w:hint="default" w:ascii="Times New Roman" w:hAnsi="Times New Roman" w:cs="Times New Roman"/>
                <w:bCs/>
                <w:color w:val="000000"/>
                <w:sz w:val="21"/>
                <w:szCs w:val="18"/>
                <w:lang w:val="en-US" w:eastAsia="zh-CN"/>
              </w:rPr>
              <w:t>4自主学习②能搜集、获取达到目标所需要的学习资源，实施学习计划、反思学习计划、持续改进，达到学习目标。</w:t>
            </w:r>
          </w:p>
        </w:tc>
      </w:tr>
    </w:tbl>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5008"/>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5008" w:type="dxa"/>
            <w:tcBorders>
              <w:top w:val="single" w:color="auto" w:sz="12" w:space="0"/>
            </w:tcBorders>
            <w:vAlign w:val="center"/>
          </w:tcPr>
          <w:p>
            <w:pPr>
              <w:pStyle w:val="13"/>
              <w:rPr>
                <w:szCs w:val="16"/>
              </w:rPr>
            </w:pPr>
            <w:r>
              <w:rPr>
                <w:rFonts w:hint="eastAsia"/>
                <w:szCs w:val="16"/>
              </w:rPr>
              <w:t>课程目标</w:t>
            </w:r>
          </w:p>
        </w:tc>
        <w:tc>
          <w:tcPr>
            <w:tcW w:w="1103"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777" w:type="dxa"/>
            <w:tcBorders>
              <w:left w:val="single" w:color="auto" w:sz="12" w:space="0"/>
              <w:right w:val="single" w:color="auto" w:sz="4" w:space="0"/>
            </w:tcBorders>
            <w:shd w:val="clear" w:color="auto" w:fill="auto"/>
            <w:vAlign w:val="center"/>
          </w:tcPr>
          <w:p>
            <w:pPr>
              <w:pStyle w:val="14"/>
              <w:rPr>
                <w:rFonts w:hint="default" w:ascii="Times New Roman" w:hAnsi="Times New Roman" w:cs="Times New Roman"/>
              </w:rPr>
            </w:pPr>
            <w:r>
              <w:rPr>
                <w:rFonts w:hint="default" w:ascii="Times New Roman" w:hAnsi="Times New Roman" w:cs="Times New Roman"/>
                <w:bCs/>
                <w:lang w:val="en-US" w:eastAsia="zh-CN"/>
              </w:rPr>
              <w:t>L01</w:t>
            </w:r>
          </w:p>
        </w:tc>
        <w:tc>
          <w:tcPr>
            <w:tcW w:w="794" w:type="dxa"/>
            <w:tcBorders>
              <w:left w:val="single" w:color="auto" w:sz="4"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w:t>
            </w:r>
          </w:p>
        </w:tc>
        <w:tc>
          <w:tcPr>
            <w:tcW w:w="794" w:type="dxa"/>
            <w:tcBorders>
              <w:right w:val="double" w:color="auto" w:sz="4" w:space="0"/>
            </w:tcBorders>
            <w:shd w:val="clear" w:color="auto" w:fill="auto"/>
            <w:vAlign w:val="center"/>
          </w:tcPr>
          <w:p>
            <w:pPr>
              <w:pStyle w:val="14"/>
              <w:rPr>
                <w:rFonts w:hint="default" w:ascii="Times New Roman" w:hAnsi="Times New Roman" w:eastAsia="宋体" w:cs="Times New Roman"/>
                <w:lang w:val="en-US" w:eastAsia="zh-CN"/>
              </w:rPr>
            </w:pPr>
            <w:r>
              <w:rPr>
                <w:rFonts w:hint="default" w:ascii="Times New Roman" w:hAnsi="Times New Roman" w:cs="Times New Roman"/>
                <w:lang w:val="en-US" w:eastAsia="zh-CN"/>
              </w:rPr>
              <w:t>M</w:t>
            </w:r>
          </w:p>
        </w:tc>
        <w:tc>
          <w:tcPr>
            <w:tcW w:w="5008" w:type="dxa"/>
            <w:vAlign w:val="center"/>
          </w:tcPr>
          <w:p>
            <w:pPr>
              <w:pStyle w:val="14"/>
              <w:jc w:val="left"/>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4、</w:t>
            </w:r>
            <w:r>
              <w:rPr>
                <w:rFonts w:hint="default" w:ascii="Times New Roman" w:hAnsi="Times New Roman" w:cs="Times New Roman"/>
                <w:b w:val="0"/>
                <w:bCs/>
                <w:color w:val="000000"/>
                <w:sz w:val="21"/>
                <w:szCs w:val="21"/>
                <w:lang w:val="en-US" w:eastAsia="zh-CN"/>
              </w:rPr>
              <w:t>结合辩证唯物主义培养学生的科学精神和科学素质。</w:t>
            </w:r>
          </w:p>
        </w:tc>
        <w:tc>
          <w:tcPr>
            <w:tcW w:w="1103" w:type="dxa"/>
            <w:tcBorders>
              <w:right w:val="single" w:color="auto" w:sz="12"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61" w:hRule="atLeast"/>
          <w:jc w:val="center"/>
        </w:trPr>
        <w:tc>
          <w:tcPr>
            <w:tcW w:w="777" w:type="dxa"/>
            <w:vMerge w:val="restart"/>
            <w:tcBorders>
              <w:left w:val="single" w:color="auto" w:sz="12" w:space="0"/>
              <w:right w:val="single" w:color="auto" w:sz="4" w:space="0"/>
            </w:tcBorders>
            <w:shd w:val="clear" w:color="auto" w:fill="auto"/>
            <w:vAlign w:val="center"/>
          </w:tcPr>
          <w:p>
            <w:pPr>
              <w:pStyle w:val="14"/>
              <w:rPr>
                <w:rFonts w:hint="default" w:ascii="Times New Roman" w:hAnsi="Times New Roman" w:cs="Times New Roman"/>
              </w:rPr>
            </w:pPr>
            <w:r>
              <w:rPr>
                <w:rFonts w:hint="default" w:ascii="Times New Roman" w:hAnsi="Times New Roman" w:cs="Times New Roman"/>
                <w:bCs/>
                <w:lang w:val="en-US" w:eastAsia="zh-CN"/>
              </w:rPr>
              <w:t>L02</w:t>
            </w:r>
          </w:p>
        </w:tc>
        <w:tc>
          <w:tcPr>
            <w:tcW w:w="794" w:type="dxa"/>
            <w:vMerge w:val="restart"/>
            <w:tcBorders>
              <w:left w:val="single" w:color="auto" w:sz="4"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w:t>
            </w:r>
          </w:p>
        </w:tc>
        <w:tc>
          <w:tcPr>
            <w:tcW w:w="794" w:type="dxa"/>
            <w:vMerge w:val="restart"/>
            <w:tcBorders>
              <w:right w:val="double" w:color="auto" w:sz="4" w:space="0"/>
            </w:tcBorders>
            <w:shd w:val="clear" w:color="auto" w:fill="auto"/>
            <w:vAlign w:val="center"/>
          </w:tcPr>
          <w:p>
            <w:pPr>
              <w:pStyle w:val="14"/>
              <w:rPr>
                <w:rFonts w:hint="default" w:ascii="Times New Roman" w:hAnsi="Times New Roman" w:eastAsia="宋体" w:cs="Times New Roman"/>
                <w:lang w:val="en-US" w:eastAsia="zh-CN"/>
              </w:rPr>
            </w:pPr>
            <w:r>
              <w:rPr>
                <w:rFonts w:hint="default" w:ascii="Times New Roman" w:hAnsi="Times New Roman" w:cs="Times New Roman"/>
                <w:lang w:val="en-US" w:eastAsia="zh-CN"/>
              </w:rPr>
              <w:t>H</w:t>
            </w:r>
          </w:p>
        </w:tc>
        <w:tc>
          <w:tcPr>
            <w:tcW w:w="5008" w:type="dxa"/>
            <w:vAlign w:val="center"/>
          </w:tcPr>
          <w:p>
            <w:pPr>
              <w:keepNext w:val="0"/>
              <w:keepLines w:val="0"/>
              <w:widowControl/>
              <w:suppressLineNumbers w:val="0"/>
              <w:jc w:val="left"/>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1、</w:t>
            </w:r>
            <w:r>
              <w:rPr>
                <w:rFonts w:hint="default" w:ascii="Times New Roman" w:hAnsi="Times New Roman" w:cs="Times New Roman"/>
                <w:b w:val="0"/>
                <w:bCs/>
                <w:color w:val="000000"/>
                <w:sz w:val="21"/>
                <w:szCs w:val="21"/>
                <w:lang w:val="en-US" w:eastAsia="zh-CN"/>
              </w:rPr>
              <w:t>掌握力学和电磁学的基本概念、基本理论和基本方法。</w:t>
            </w:r>
          </w:p>
        </w:tc>
        <w:tc>
          <w:tcPr>
            <w:tcW w:w="1103" w:type="dxa"/>
            <w:tcBorders>
              <w:right w:val="single" w:color="auto" w:sz="12"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3" w:hRule="atLeast"/>
          <w:jc w:val="center"/>
        </w:trPr>
        <w:tc>
          <w:tcPr>
            <w:tcW w:w="777" w:type="dxa"/>
            <w:vMerge w:val="continue"/>
            <w:tcBorders>
              <w:left w:val="single" w:color="auto" w:sz="12" w:space="0"/>
              <w:right w:val="single" w:color="auto" w:sz="4" w:space="0"/>
            </w:tcBorders>
            <w:shd w:val="clear" w:color="auto" w:fill="auto"/>
            <w:vAlign w:val="center"/>
          </w:tcPr>
          <w:p>
            <w:pPr>
              <w:pStyle w:val="14"/>
              <w:rPr>
                <w:rFonts w:hint="default" w:ascii="Times New Roman" w:hAnsi="Times New Roman" w:cs="Times New Roman"/>
                <w:bCs/>
                <w:lang w:val="en-US" w:eastAsia="zh-CN"/>
              </w:rPr>
            </w:pPr>
          </w:p>
        </w:tc>
        <w:tc>
          <w:tcPr>
            <w:tcW w:w="794" w:type="dxa"/>
            <w:vMerge w:val="continue"/>
            <w:tcBorders>
              <w:left w:val="single" w:color="auto" w:sz="4" w:space="0"/>
            </w:tcBorders>
            <w:vAlign w:val="center"/>
          </w:tcPr>
          <w:p>
            <w:pPr>
              <w:pStyle w:val="14"/>
              <w:rPr>
                <w:rFonts w:hint="default" w:ascii="Times New Roman" w:hAnsi="Times New Roman" w:cs="Times New Roman"/>
                <w:bCs/>
                <w:lang w:val="en-US" w:eastAsia="zh-CN"/>
              </w:rPr>
            </w:pPr>
          </w:p>
        </w:tc>
        <w:tc>
          <w:tcPr>
            <w:tcW w:w="794" w:type="dxa"/>
            <w:vMerge w:val="continue"/>
            <w:tcBorders>
              <w:right w:val="double" w:color="auto" w:sz="4" w:space="0"/>
            </w:tcBorders>
            <w:shd w:val="clear" w:color="auto" w:fill="auto"/>
            <w:vAlign w:val="center"/>
          </w:tcPr>
          <w:p>
            <w:pPr>
              <w:pStyle w:val="14"/>
              <w:rPr>
                <w:rFonts w:hint="default" w:ascii="Times New Roman" w:hAnsi="Times New Roman" w:cs="Times New Roman"/>
                <w:lang w:val="en-US" w:eastAsia="zh-CN"/>
              </w:rPr>
            </w:pPr>
          </w:p>
        </w:tc>
        <w:tc>
          <w:tcPr>
            <w:tcW w:w="5008" w:type="dxa"/>
            <w:vAlign w:val="center"/>
          </w:tcPr>
          <w:p>
            <w:pPr>
              <w:pStyle w:val="14"/>
              <w:jc w:val="left"/>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3、</w:t>
            </w:r>
            <w:r>
              <w:rPr>
                <w:rFonts w:hint="default" w:ascii="Times New Roman" w:hAnsi="Times New Roman" w:cs="Times New Roman"/>
                <w:b w:val="0"/>
                <w:bCs/>
                <w:color w:val="000000"/>
                <w:sz w:val="21"/>
                <w:szCs w:val="21"/>
                <w:lang w:val="en-US" w:eastAsia="zh-CN"/>
              </w:rPr>
              <w:t>应用物理学基本原理对工程问题建模和解决问题。</w:t>
            </w:r>
          </w:p>
        </w:tc>
        <w:tc>
          <w:tcPr>
            <w:tcW w:w="1103" w:type="dxa"/>
            <w:tcBorders>
              <w:right w:val="single" w:color="auto" w:sz="12" w:space="0"/>
            </w:tcBorders>
            <w:vAlign w:val="center"/>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1" w:hRule="atLeast"/>
          <w:jc w:val="center"/>
        </w:trPr>
        <w:tc>
          <w:tcPr>
            <w:tcW w:w="777" w:type="dxa"/>
            <w:tcBorders>
              <w:left w:val="single" w:color="auto" w:sz="12" w:space="0"/>
              <w:right w:val="single" w:color="auto" w:sz="4" w:space="0"/>
            </w:tcBorders>
            <w:shd w:val="clear" w:color="auto" w:fill="auto"/>
            <w:vAlign w:val="top"/>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L04</w:t>
            </w:r>
          </w:p>
        </w:tc>
        <w:tc>
          <w:tcPr>
            <w:tcW w:w="794" w:type="dxa"/>
            <w:tcBorders>
              <w:left w:val="single" w:color="auto" w:sz="4" w:space="0"/>
            </w:tcBorders>
            <w:vAlign w:val="center"/>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2</w:t>
            </w:r>
          </w:p>
        </w:tc>
        <w:tc>
          <w:tcPr>
            <w:tcW w:w="794" w:type="dxa"/>
            <w:tcBorders>
              <w:right w:val="double" w:color="auto" w:sz="4" w:space="0"/>
            </w:tcBorders>
            <w:shd w:val="clear" w:color="auto" w:fill="auto"/>
            <w:vAlign w:val="center"/>
          </w:tcPr>
          <w:p>
            <w:pPr>
              <w:pStyle w:val="14"/>
              <w:rPr>
                <w:rFonts w:hint="default" w:ascii="Times New Roman" w:hAnsi="Times New Roman" w:cs="Times New Roman"/>
                <w:lang w:val="en-US" w:eastAsia="zh-CN"/>
              </w:rPr>
            </w:pPr>
            <w:r>
              <w:rPr>
                <w:rFonts w:hint="default" w:ascii="Times New Roman" w:hAnsi="Times New Roman" w:cs="Times New Roman"/>
                <w:lang w:val="en-US" w:eastAsia="zh-CN"/>
              </w:rPr>
              <w:t>M</w:t>
            </w:r>
          </w:p>
        </w:tc>
        <w:tc>
          <w:tcPr>
            <w:tcW w:w="5008" w:type="dxa"/>
            <w:vAlign w:val="center"/>
          </w:tcPr>
          <w:p>
            <w:pPr>
              <w:keepNext w:val="0"/>
              <w:keepLines w:val="0"/>
              <w:widowControl/>
              <w:suppressLineNumbers w:val="0"/>
              <w:jc w:val="left"/>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2、</w:t>
            </w:r>
            <w:r>
              <w:rPr>
                <w:rFonts w:hint="default" w:ascii="Times New Roman" w:hAnsi="Times New Roman" w:cs="Times New Roman"/>
                <w:b w:val="0"/>
                <w:bCs/>
                <w:color w:val="000000"/>
                <w:sz w:val="21"/>
                <w:szCs w:val="21"/>
                <w:lang w:val="en-US" w:eastAsia="zh-CN"/>
              </w:rPr>
              <w:t>进行科学思维方法和运算能力的训练。</w:t>
            </w:r>
          </w:p>
        </w:tc>
        <w:tc>
          <w:tcPr>
            <w:tcW w:w="1103" w:type="dxa"/>
            <w:tcBorders>
              <w:bottom w:val="single" w:color="auto" w:sz="12" w:space="0"/>
              <w:right w:val="single" w:color="auto" w:sz="12" w:space="0"/>
            </w:tcBorders>
            <w:vAlign w:val="center"/>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100%</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bookmarkStart w:id="0" w:name="OLE_LINK1"/>
      <w:bookmarkStart w:id="1" w:name="OLE_LINK2"/>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eastAsia="宋体" w:cs="Times New Roman"/>
                <w:b/>
                <w:bCs/>
                <w:color w:val="000000"/>
                <w:kern w:val="0"/>
                <w:sz w:val="21"/>
                <w:szCs w:val="21"/>
                <w:lang w:val="en-US" w:eastAsia="zh-CN" w:bidi="ar"/>
              </w:rPr>
            </w:pPr>
            <w:bookmarkStart w:id="2" w:name="OLE_LINK6"/>
            <w:bookmarkStart w:id="3" w:name="OLE_LINK5"/>
            <w:r>
              <w:rPr>
                <w:rFonts w:hint="default" w:ascii="Times New Roman" w:hAnsi="Times New Roman" w:eastAsia="宋体" w:cs="Times New Roman"/>
                <w:b/>
                <w:bCs/>
                <w:color w:val="000000"/>
                <w:kern w:val="0"/>
                <w:sz w:val="21"/>
                <w:szCs w:val="21"/>
                <w:lang w:val="en-US" w:eastAsia="zh-CN" w:bidi="ar"/>
              </w:rPr>
              <w:t>第一单元：力学</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第一章 质点运动学 (6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1-1 运动 时空 测量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1-2 质点运动的描述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1-3 质点运动变化的描述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运动学方程、位移、速度、加速度：了解质点模型及参考系和坐标系的概念；掌握位置矢量、运动方程和轨迹方程的概念及其计算；掌握位移和路程、速度和速率的区别，以及位移、速度等物理量的意义和计算；理解加速度等描述质点运动变化的物理量的概念；熟练掌握已知运动学方程求解位移、速度、加速度；已知加速度求解速度和运动方程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圆周运动的线量、角量表示：掌握质点作圆周运动时的角速度、角加速度、切向加速度和法向加速度的表示，并能进行基本问题计算。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通过讲述物理学史、力学史,使大学生热爱科学、热爱物理、勇于创新。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建立正确的物质观、运动观、相互作用观和能量观,逐步形成正确的世界观。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第二章 质点动力学 (8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2-1 动量 动量守恒定律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2-2 角动量 角动量守恒定律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2-3 能量 能量守恒定律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cs="Times New Roman"/>
                <w:b w:val="0"/>
                <w:bCs w:val="0"/>
                <w:color w:val="000000"/>
                <w:kern w:val="0"/>
                <w:sz w:val="21"/>
                <w:szCs w:val="21"/>
                <w:lang w:val="en-US" w:eastAsia="zh-CN" w:bidi="ar"/>
              </w:rPr>
              <w:t>1、</w:t>
            </w:r>
            <w:r>
              <w:rPr>
                <w:rFonts w:hint="default" w:ascii="Times New Roman" w:hAnsi="Times New Roman" w:eastAsia="宋体" w:cs="Times New Roman"/>
                <w:b/>
                <w:bCs/>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熟练应用微积分方法求解一维变力作用下基本的质点动力学问题。</w:t>
            </w:r>
            <w:r>
              <w:rPr>
                <w:rFonts w:hint="default" w:ascii="Times New Roman" w:hAnsi="Times New Roman" w:eastAsia="宋体" w:cs="Times New Roman"/>
                <w:b/>
                <w:bCs/>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动量、冲量、动量定理：理解动量、冲量的概念，掌握变力的冲量的计算；熟练掌握质点和质点系的动量定理及其应用。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3</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动能、动能定理、功、变力的功：正确理解功的概念，熟练计算变力的功；掌握动能定理，能运用它分析解决动力学问题。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4</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势能、保守力与势能的关系、功能原理、机械能守恒定律：理解保守力做功的特点及势能的概念，会计算重力、弹性力势能；掌握功能原理及机械能守恒定律，能运用它们分析解决动力学问题。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通过牛顿定律所涉及的科学概念、定律以及思维方式，培养学生形成正确的世界观和认识自然界的方法，让学生掌握自然科学知识，培养学生的科学素养。通过动量定理和能量守恒定律对火箭或导弹进行动力学分析，使学生对动量定理和能量守恒定律加深理解，从而培养学生应用物理学知识解决工程实际问题的能力，结合我国两弹一星元勋在艰苦条件下作出的重大贡献，增强学生的爱国主义精神和新时代的使命感。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第三章 刚体力学基础（10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3-1 刚体运动的基本形式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3-2 定轴转动刚体的角动量 转动惯量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3-3 刚体定轴转动定律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3-4 刚体的角动量定理和角动量守恒定律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3-5 刚体定轴转动的动能定理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刚体的定轴转动：了解刚体平动、转动的特点；掌握刚体定轴转动的角量表示及其与线量的关系。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角动量、转动惯量：了解定轴转动刚体的角动量表示；理解转动惯量的概念，掌握应用取微元法计算具有简单几何形状的刚体的转动惯量的方法。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3</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力矩、转动定律：掌握刚体定轴转动的力矩表示；熟练掌握刚体定轴转动的转动定律，能应用其分析刚体的定轴转动、求解有关定轴转动的问题。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4</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角动量定理、角动量守恒定律：掌握刚体的角动量定理及其应用；熟练掌握刚体的角动量守恒定律，并应用其求解有关问题。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5</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刚体定轴转动的动能定理：掌握刚体转动动能和势能的表示；掌握刚体定轴转动的动能定理的应用。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以物体对轴的角动量守恒定律为例，通过回转仪在军事、航天、汽车领域的应用，向学生传达科技兴国的重要性，培养学生热爱科学、积极探索的精神；通过跳水及花样滑冰运动员的事迹，培养学生勤奋刻苦、不畏艰难、不怕失败的优秀品质。以寓教于乐的方式，结合视频播放，通过讲解人物与历史故事、科技进展，将大学物理课程与学生的思想政治教育相结合，发挥大学老师在教书和育人两方面的双重作用。</w:t>
            </w:r>
          </w:p>
          <w:p>
            <w:pPr>
              <w:widowControl w:val="0"/>
              <w:spacing w:line="360" w:lineRule="exact"/>
              <w:jc w:val="both"/>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教学重点、难点：</w:t>
            </w:r>
          </w:p>
          <w:p>
            <w:pPr>
              <w:widowControl w:val="0"/>
              <w:numPr>
                <w:ilvl w:val="0"/>
                <w:numId w:val="1"/>
              </w:numPr>
              <w:spacing w:line="360" w:lineRule="exact"/>
              <w:jc w:val="both"/>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两类运动学问题和圆周运动。</w:t>
            </w:r>
          </w:p>
          <w:p>
            <w:pPr>
              <w:widowControl w:val="0"/>
              <w:numPr>
                <w:ilvl w:val="0"/>
                <w:numId w:val="1"/>
              </w:numPr>
              <w:spacing w:line="360" w:lineRule="exact"/>
              <w:ind w:left="0" w:leftChars="0" w:firstLine="0" w:firstLineChars="0"/>
              <w:jc w:val="both"/>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牛顿运动定律的应用，动量定理和动量守恒定律、动能定律和功能原理与机械能守恒定律的意义及应用。</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bCs/>
                <w:color w:val="000000"/>
                <w:kern w:val="0"/>
                <w:sz w:val="21"/>
                <w:szCs w:val="21"/>
                <w:lang w:val="en-US" w:eastAsia="zh-CN"/>
              </w:rPr>
              <w:t>3、</w:t>
            </w:r>
            <w:r>
              <w:rPr>
                <w:rFonts w:hint="default" w:ascii="Times New Roman" w:hAnsi="Times New Roman" w:eastAsia="宋体" w:cs="Times New Roman"/>
                <w:bCs/>
                <w:color w:val="000000"/>
                <w:kern w:val="0"/>
                <w:sz w:val="21"/>
                <w:szCs w:val="21"/>
              </w:rPr>
              <w:t>刚体定轴转动的转动定律、角动量守恒定律的意义及应用。</w:t>
            </w:r>
          </w:p>
          <w:p>
            <w:pPr>
              <w:keepNext w:val="0"/>
              <w:keepLines w:val="0"/>
              <w:widowControl/>
              <w:suppressLineNumbers w:val="0"/>
              <w:jc w:val="left"/>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cs="Times New Roman"/>
                <w:b/>
                <w:bCs/>
                <w:color w:val="000000"/>
                <w:kern w:val="0"/>
                <w:sz w:val="21"/>
                <w:szCs w:val="21"/>
                <w:lang w:val="en-US" w:eastAsia="zh-CN" w:bidi="ar"/>
              </w:rPr>
              <w:t>第二单元电磁学</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第六章 电荷与电场（12 学时）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6-1 库仑定律与电场强度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6-2 电场强度通量与高斯定理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6-3 静电场的环路定理与电势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6-4 静电场中导体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1、库仑定律、电场强度：掌握库仑定律的表示及意义；理解电场强度的定义</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2、电场强度叠加原理：理解电场强度叠加原理，熟练掌握用电场强度叠加原理求解带电系统电场强度的计算方法。</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3、电场强度通量、真空中的高斯定理：掌握电场强度通量的概念及计算；熟练掌握高斯定理及用高斯定理计算简单几何形状的带电体的电场强度的条件和方法。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4、电场力的功、静电场的环路定理、电势能、电势、电势差、电势叠加原理：掌握静电场的环路定理及其意义；理解电势能、电势、电势差的概念；熟练掌握用电势叠加原理（电势与电场强度的积分关系）和电势的定义式求解带电系统电势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5、静电平衡时导体上的电荷分布及电场强度和电势分布：正确理解导体的静电平衡条件，熟练计算静电平衡时导体的电荷分布及电场强度与电势的分布；了解尖端放电与静电屏蔽现象。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6、电容器的电容：了解电容器的性质，了解电容器电容的概念。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工匠精神是一种职业精神，是职业道德、职业能力、职业品质的体现。将工匠精神融入大学物理课程思政教学，努力培养学生精益求精、执着、专注的专业素质。从静电学的基础内容出发，结合生活中静电应用与防护实例，通过学习老一辈科学家为振兴中华而刻苦专研、奋发图强的先进事迹，增强学生的爱国责任感和使命感，对建设有中国特色社会主义道路的信心和决心更加坚定信念。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第七章 电流与磁场 (12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7-1 恒定电流和恒定电场 电动势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7-2 恒定磁场和磁感应强度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7-3 毕奥-萨伐尔定律</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7-4 磁场中的高斯定理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7-5 真空中恒定磁场的安培环路定理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7-6 磁场对运动电荷和载流导线的作用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1、磁感强度、毕奥-萨伐尔定律：正确理解磁感强度的定义；理解毕奥-萨伐尔定律的内容和物理意义；应用毕奥-萨伐尔定律计算磁感强度。</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2、磁通量、磁场的高斯定理：掌握磁通量的概念和计算方法；了解恒定磁场中高斯定理的数学表达式及其物理意义。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3、安培环路定理：熟练掌握应用安培环路定理计算具有一定对称性磁场的磁感强度的方法。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4、带电粒子在外磁场中受到的力及其运动、磁场对载流导体的作用：掌握洛仑兹力的应用，能分析点电荷在均匀电场和均匀磁场中的受力和运动；掌握安培定律的计算方法，能熟练计算简单几何形状载流导体在均匀磁场中和在无限长直载流导线产生的非均匀磁场中所受的力。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主要围绕培养学生政治认同、国家意识、文化自信和公民人格。让学生能够认识和理解自己祖国的历史、文化、国情等，逐渐积淀成主人翁责任感、自豪感和归属感，有效引导学生树立正确的国家观、社会观和世界观。 </w:t>
            </w:r>
          </w:p>
          <w:p>
            <w:pPr>
              <w:widowControl w:val="0"/>
              <w:spacing w:line="360" w:lineRule="exact"/>
              <w:jc w:val="both"/>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教学重点、难点：</w:t>
            </w:r>
          </w:p>
          <w:p>
            <w:pPr>
              <w:widowControl w:val="0"/>
              <w:numPr>
                <w:ilvl w:val="0"/>
                <w:numId w:val="2"/>
              </w:numPr>
              <w:spacing w:line="360" w:lineRule="exact"/>
              <w:jc w:val="both"/>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静电场的高斯定理、电场强度和电势的计算</w:t>
            </w:r>
            <w:r>
              <w:rPr>
                <w:rFonts w:hint="default" w:ascii="Times New Roman" w:hAnsi="Times New Roman" w:eastAsia="宋体" w:cs="Times New Roman"/>
                <w:bCs/>
                <w:color w:val="000000"/>
                <w:kern w:val="0"/>
                <w:sz w:val="21"/>
                <w:szCs w:val="21"/>
                <w:lang w:eastAsia="zh-CN"/>
              </w:rPr>
              <w:t>。</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default" w:ascii="Times New Roman" w:hAnsi="Times New Roman" w:eastAsia="宋体" w:cs="Times New Roman"/>
                <w:bCs/>
                <w:color w:val="000000"/>
                <w:kern w:val="0"/>
                <w:sz w:val="21"/>
                <w:szCs w:val="21"/>
                <w:lang w:val="en-US" w:eastAsia="zh-CN"/>
              </w:rPr>
              <w:t>2、</w:t>
            </w:r>
            <w:r>
              <w:rPr>
                <w:rFonts w:hint="default" w:ascii="Times New Roman" w:hAnsi="Times New Roman" w:eastAsia="宋体" w:cs="Times New Roman"/>
                <w:bCs/>
                <w:color w:val="000000"/>
                <w:kern w:val="0"/>
                <w:sz w:val="21"/>
                <w:szCs w:val="21"/>
              </w:rPr>
              <w:t>安培环路定理、磁力的计算</w:t>
            </w:r>
            <w:r>
              <w:rPr>
                <w:rFonts w:hint="default" w:ascii="Times New Roman" w:hAnsi="Times New Roman" w:eastAsia="宋体" w:cs="Times New Roman"/>
                <w:bCs/>
                <w:color w:val="000000"/>
                <w:kern w:val="0"/>
                <w:sz w:val="21"/>
                <w:szCs w:val="21"/>
                <w:lang w:eastAsia="zh-CN"/>
              </w:rPr>
              <w:t>。</w:t>
            </w:r>
          </w:p>
        </w:tc>
      </w:tr>
      <w:bookmarkEnd w:id="2"/>
      <w:bookmarkEnd w:id="3"/>
    </w:tbl>
    <w:p>
      <w:pPr>
        <w:pStyle w:val="17"/>
        <w:spacing w:before="81" w:after="163"/>
      </w:pPr>
      <w:r>
        <w:rPr>
          <w:rFonts w:hint="eastAsia"/>
        </w:rPr>
        <w:t>（二）教学单元对课程目标的支撑关系</w:t>
      </w:r>
    </w:p>
    <w:tbl>
      <w:tblPr>
        <w:tblStyle w:val="7"/>
        <w:tblW w:w="37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rFonts w:hint="eastAsia"/>
                <w:szCs w:val="16"/>
              </w:rPr>
            </w:pPr>
          </w:p>
          <w:p>
            <w:pPr>
              <w:pStyle w:val="13"/>
              <w:ind w:right="210"/>
              <w:jc w:val="left"/>
              <w:rPr>
                <w:szCs w:val="16"/>
              </w:rPr>
            </w:pPr>
            <w:r>
              <w:rPr>
                <w:rFonts w:hint="eastAsia"/>
                <w:szCs w:val="16"/>
              </w:rPr>
              <w:t>教学单元</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3</w:t>
            </w:r>
          </w:p>
        </w:tc>
        <w:tc>
          <w:tcPr>
            <w:tcW w:w="1100" w:type="dxa"/>
            <w:tcBorders>
              <w:top w:val="single" w:color="auto" w:sz="12" w:space="0"/>
            </w:tcBorders>
            <w:vAlign w:val="center"/>
          </w:tcPr>
          <w:p>
            <w:pPr>
              <w:pStyle w:val="13"/>
              <w:rPr>
                <w:rFonts w:hint="default"/>
                <w:szCs w:val="16"/>
                <w:lang w:val="en-US" w:eastAsia="zh-CN"/>
              </w:rPr>
            </w:pPr>
            <w:r>
              <w:rPr>
                <w:rFonts w:hint="eastAsia"/>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rPr>
                <w:rFonts w:hint="eastAsia" w:eastAsia="宋体"/>
                <w:lang w:eastAsia="zh-CN"/>
              </w:rPr>
            </w:pPr>
            <w:r>
              <w:rPr>
                <w:rFonts w:hint="eastAsia"/>
                <w:lang w:eastAsia="zh-CN"/>
              </w:rPr>
              <w:t>力学</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rPr>
                <w:rFonts w:hint="default" w:ascii="Arial" w:hAnsi="Arial" w:cs="Arial"/>
              </w:rPr>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rPr>
                <w:rFonts w:hint="eastAsia" w:eastAsia="宋体"/>
                <w:lang w:eastAsia="zh-CN"/>
              </w:rPr>
            </w:pPr>
            <w:r>
              <w:rPr>
                <w:rFonts w:hint="eastAsia"/>
                <w:lang w:eastAsia="zh-CN"/>
              </w:rPr>
              <w:t>电磁学</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rPr>
                <w:rFonts w:hint="default" w:ascii="Arial" w:hAnsi="Arial" w:cs="Arial"/>
              </w:rPr>
            </w:pPr>
            <w:r>
              <w:rPr>
                <w:rFonts w:hint="default" w:ascii="Arial" w:hAnsi="Arial" w:cs="Arial"/>
              </w:rPr>
              <w:t>√</w:t>
            </w:r>
          </w:p>
        </w:tc>
      </w:tr>
    </w:tbl>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028"/>
        <w:gridCol w:w="4095"/>
        <w:gridCol w:w="1242"/>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028"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4095"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242"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028"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4095" w:type="dxa"/>
            <w:vMerge w:val="continue"/>
          </w:tcPr>
          <w:p>
            <w:pPr>
              <w:widowControl w:val="0"/>
              <w:snapToGrid w:val="0"/>
              <w:jc w:val="center"/>
              <w:rPr>
                <w:rFonts w:ascii="黑体" w:hAnsi="黑体" w:eastAsia="黑体"/>
                <w:bCs/>
                <w:sz w:val="21"/>
                <w:szCs w:val="21"/>
              </w:rPr>
            </w:pPr>
          </w:p>
        </w:tc>
        <w:tc>
          <w:tcPr>
            <w:tcW w:w="1242"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9" w:hRule="atLeast"/>
          <w:jc w:val="center"/>
        </w:trPr>
        <w:tc>
          <w:tcPr>
            <w:tcW w:w="1028" w:type="dxa"/>
            <w:tcBorders>
              <w:left w:val="single" w:color="auto" w:sz="12" w:space="0"/>
            </w:tcBorders>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力学</w:t>
            </w:r>
          </w:p>
        </w:tc>
        <w:tc>
          <w:tcPr>
            <w:tcW w:w="4095" w:type="dxa"/>
            <w:vMerge w:val="restart"/>
            <w:vAlign w:val="center"/>
          </w:tcPr>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1、讲授法：授课教师口授结合板书直接向学生传授物理知识，帮助学生理解大学物理中的基本概念，掌握物理学基本定律，同时理解基本定理演绎过程。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2、演示法：授课教师通过 PPT 等多媒体工具将经典的物理现象和规律以图文并茂的形式展示给学生，使学生对物理概念有一个直观的认识。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3、案例教学法：以案例为基础的教学法，通过提出没有特定解决方法的问题，鼓励学生积极参与讨论，并就自己和他人的方案发表见解，使学生的学习变被动为主动。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4、同伴教学法：利用一些引导学生深入探究的概念测试题等，引导学生参与教学过程，变传统单一的讲授为基于剖析概念的自主学习和合作探究。 </w:t>
            </w:r>
          </w:p>
          <w:p>
            <w:pPr>
              <w:keepNext w:val="0"/>
              <w:keepLines w:val="0"/>
              <w:widowControl/>
              <w:suppressLineNumbers w:val="0"/>
              <w:jc w:val="left"/>
              <w:rPr>
                <w:rFonts w:ascii="Times New Roman" w:hAnsi="Times New Roman"/>
                <w:bCs/>
                <w:sz w:val="21"/>
                <w:szCs w:val="21"/>
              </w:rPr>
            </w:pPr>
            <w:r>
              <w:rPr>
                <w:rFonts w:hint="default" w:ascii="Times New Roman" w:hAnsi="Times New Roman" w:eastAsia="宋体" w:cs="Times New Roman"/>
                <w:color w:val="000000"/>
                <w:kern w:val="0"/>
                <w:sz w:val="21"/>
                <w:szCs w:val="21"/>
                <w:lang w:val="en-US" w:eastAsia="zh-CN" w:bidi="ar"/>
              </w:rPr>
              <w:t>5、练习法：通过大量的例题讲解和课后习题的练习，使学生对教学大纲要求的知识点快速掌握，同时掌握应用物理概念和基本定理解题的技巧。</w:t>
            </w:r>
          </w:p>
        </w:tc>
        <w:tc>
          <w:tcPr>
            <w:tcW w:w="1242" w:type="dxa"/>
            <w:vMerge w:val="restart"/>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期末考试</w:t>
            </w:r>
          </w:p>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作业习题</w:t>
            </w:r>
          </w:p>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调查报告</w:t>
            </w:r>
          </w:p>
        </w:tc>
        <w:tc>
          <w:tcPr>
            <w:tcW w:w="72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028" w:type="dxa"/>
            <w:tcBorders>
              <w:left w:val="single" w:color="auto" w:sz="12" w:space="0"/>
            </w:tcBorders>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电磁学</w:t>
            </w:r>
          </w:p>
        </w:tc>
        <w:tc>
          <w:tcPr>
            <w:tcW w:w="4095" w:type="dxa"/>
            <w:vMerge w:val="continue"/>
            <w:vAlign w:val="center"/>
          </w:tcPr>
          <w:p>
            <w:pPr>
              <w:widowControl w:val="0"/>
              <w:snapToGrid w:val="0"/>
              <w:jc w:val="center"/>
              <w:rPr>
                <w:rFonts w:ascii="Times New Roman" w:hAnsi="Times New Roman"/>
                <w:bCs/>
                <w:sz w:val="21"/>
                <w:szCs w:val="21"/>
              </w:rPr>
            </w:pPr>
          </w:p>
        </w:tc>
        <w:tc>
          <w:tcPr>
            <w:tcW w:w="1242" w:type="dxa"/>
            <w:vMerge w:val="continue"/>
            <w:vAlign w:val="center"/>
          </w:tcPr>
          <w:p>
            <w:pPr>
              <w:widowControl w:val="0"/>
              <w:snapToGrid w:val="0"/>
              <w:jc w:val="center"/>
              <w:rPr>
                <w:rFonts w:ascii="Times New Roman" w:hAnsi="Times New Roman"/>
                <w:bCs/>
                <w:sz w:val="21"/>
                <w:szCs w:val="21"/>
              </w:rPr>
            </w:pPr>
          </w:p>
        </w:tc>
        <w:tc>
          <w:tcPr>
            <w:tcW w:w="72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25" w:type="dxa"/>
            <w:tcBorders>
              <w:bottom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c>
          <w:tcPr>
            <w:tcW w:w="669" w:type="dxa"/>
            <w:tcBorders>
              <w:bottom w:val="single" w:color="auto" w:sz="12" w:space="0"/>
            </w:tcBorders>
            <w:vAlign w:val="center"/>
          </w:tcPr>
          <w:p>
            <w:pPr>
              <w:widowControl w:val="0"/>
              <w:snapToGrid w:val="0"/>
              <w:jc w:val="center"/>
              <w:rPr>
                <w:rFonts w:ascii="Times New Roman" w:hAnsi="Times New Roman"/>
                <w:bCs/>
                <w:sz w:val="21"/>
                <w:szCs w:val="21"/>
              </w:rPr>
            </w:pPr>
          </w:p>
        </w:tc>
        <w:tc>
          <w:tcPr>
            <w:tcW w:w="717" w:type="dxa"/>
            <w:tcBorders>
              <w:bottom w:val="single" w:color="auto" w:sz="12" w:space="0"/>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r>
    </w:tbl>
    <w:p>
      <w:pPr>
        <w:pStyle w:val="16"/>
        <w:spacing w:before="326" w:beforeLines="100" w:line="360" w:lineRule="auto"/>
        <w:ind w:firstLine="140" w:firstLineChars="50"/>
        <w:rPr>
          <w:rFonts w:ascii="黑体" w:hAnsi="宋体"/>
        </w:rPr>
      </w:pPr>
      <w:r>
        <w:rPr>
          <w:rFonts w:hint="eastAsia" w:ascii="黑体" w:hAnsi="宋体"/>
        </w:rPr>
        <w:t>四、课程思政教学设计</w:t>
      </w:r>
    </w:p>
    <w:bookmarkEnd w:id="0"/>
    <w:bookmarkEnd w:id="1"/>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893" w:hRule="atLeast"/>
        </w:trPr>
        <w:tc>
          <w:tcPr>
            <w:tcW w:w="8276" w:type="dxa"/>
            <w:vAlign w:val="center"/>
          </w:tcPr>
          <w:p>
            <w:pPr>
              <w:widowControl w:val="0"/>
              <w:spacing w:line="360" w:lineRule="exact"/>
              <w:jc w:val="both"/>
              <w:rPr>
                <w:rFonts w:hint="default" w:ascii="Times New Roman" w:hAnsi="Times New Roman" w:cs="Times New Roman" w:eastAsiaTheme="majorEastAsia"/>
                <w:bCs/>
                <w:kern w:val="0"/>
                <w:sz w:val="21"/>
                <w:szCs w:val="21"/>
              </w:rPr>
            </w:pPr>
            <w:r>
              <w:rPr>
                <w:rFonts w:hint="default" w:ascii="Times New Roman" w:hAnsi="Times New Roman" w:cs="Times New Roman" w:eastAsiaTheme="majorEastAsia"/>
                <w:bCs/>
                <w:kern w:val="0"/>
                <w:sz w:val="21"/>
                <w:szCs w:val="21"/>
                <w:lang w:val="en-US" w:eastAsia="zh-CN"/>
              </w:rPr>
              <w:t xml:space="preserve">1、使学生在学习物理学知识的同时,逐步建立正确的思想方法和研究方法,充分发挥本课程在培养学生辩证唯物主义世界观方面的作用, 将马克思主义立场观点方法的教育与科学精神的培养结合起来，进行科学素质教育。 </w:t>
            </w:r>
          </w:p>
          <w:p>
            <w:pPr>
              <w:widowControl w:val="0"/>
              <w:spacing w:line="360" w:lineRule="exact"/>
              <w:jc w:val="both"/>
              <w:rPr>
                <w:rFonts w:hint="default" w:ascii="Times New Roman" w:hAnsi="Times New Roman" w:cs="Times New Roman" w:eastAsiaTheme="majorEastAsia"/>
                <w:bCs/>
                <w:kern w:val="0"/>
                <w:sz w:val="21"/>
                <w:szCs w:val="21"/>
              </w:rPr>
            </w:pPr>
            <w:r>
              <w:rPr>
                <w:rFonts w:hint="default" w:ascii="Times New Roman" w:hAnsi="Times New Roman" w:cs="Times New Roman" w:eastAsiaTheme="majorEastAsia"/>
                <w:bCs/>
                <w:kern w:val="0"/>
                <w:sz w:val="21"/>
                <w:szCs w:val="21"/>
                <w:lang w:val="en-US" w:eastAsia="zh-CN"/>
              </w:rPr>
              <w:t xml:space="preserve">2、通过应用物理学原理对国家红色工程和大科学装置的分析，对学生进行科学思维方法训练，提高学生正确认识问题、分析问题和解决问题的能力，培养学生 探索未知、追求真理、勇攀科学高峰的责任感和使命感。 </w:t>
            </w:r>
          </w:p>
          <w:p>
            <w:pPr>
              <w:widowControl w:val="0"/>
              <w:spacing w:line="360" w:lineRule="exact"/>
              <w:jc w:val="both"/>
              <w:rPr>
                <w:rFonts w:hint="eastAsia"/>
              </w:rPr>
            </w:pPr>
            <w:r>
              <w:rPr>
                <w:rFonts w:hint="default" w:ascii="Times New Roman" w:hAnsi="Times New Roman" w:cs="Times New Roman" w:eastAsiaTheme="majorEastAsia"/>
                <w:bCs/>
                <w:kern w:val="0"/>
                <w:sz w:val="21"/>
                <w:szCs w:val="21"/>
                <w:lang w:val="en-US" w:eastAsia="zh-CN"/>
              </w:rPr>
              <w:t xml:space="preserve">3、中国古代科学思想的挖掘和古代科技背后的物理学原理分析，培养学生的民族自豪感和文化自信；同时通过学习老一辈物理学家的爱国奉献精神，树立正确的人生观，坚定共产主义信念和社会主义核心价值观。 </w:t>
            </w:r>
          </w:p>
        </w:tc>
      </w:tr>
    </w:tbl>
    <w:p>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2448" w:type="dxa"/>
            <w:gridSpan w:val="4"/>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pPr>
              <w:pStyle w:val="16"/>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4</w:t>
            </w:r>
          </w:p>
        </w:tc>
        <w:tc>
          <w:tcPr>
            <w:tcW w:w="706" w:type="dxa"/>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pPr>
              <w:pStyle w:val="14"/>
              <w:widowControl w:val="0"/>
              <w:rPr>
                <w:rFonts w:hint="default"/>
                <w:lang w:val="en-US" w:eastAsia="zh-CN"/>
              </w:rPr>
            </w:pPr>
            <w:r>
              <w:rPr>
                <w:rFonts w:hint="eastAsia"/>
                <w:lang w:val="en-US" w:eastAsia="zh-CN"/>
              </w:rPr>
              <w:t>50%</w:t>
            </w:r>
          </w:p>
        </w:tc>
        <w:tc>
          <w:tcPr>
            <w:tcW w:w="2353" w:type="dxa"/>
            <w:tcBorders>
              <w:right w:val="double" w:color="auto" w:sz="4" w:space="0"/>
            </w:tcBorders>
            <w:vAlign w:val="center"/>
          </w:tcPr>
          <w:p>
            <w:pPr>
              <w:pStyle w:val="14"/>
              <w:widowControl w:val="0"/>
              <w:rPr>
                <w:rFonts w:hint="default"/>
                <w:lang w:val="en-US" w:eastAsia="zh-CN"/>
              </w:rPr>
            </w:pPr>
            <w:r>
              <w:rPr>
                <w:rFonts w:hint="eastAsia"/>
                <w:lang w:val="en-US" w:eastAsia="zh-CN"/>
              </w:rPr>
              <w:t>期末闭卷考试</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60</w:t>
            </w:r>
          </w:p>
        </w:tc>
        <w:tc>
          <w:tcPr>
            <w:tcW w:w="612" w:type="dxa"/>
            <w:vAlign w:val="center"/>
          </w:tcPr>
          <w:p>
            <w:pPr>
              <w:pStyle w:val="14"/>
              <w:widowControl w:val="0"/>
              <w:rPr>
                <w:rFonts w:hint="default" w:eastAsia="宋体"/>
                <w:lang w:val="en-US" w:eastAsia="zh-CN"/>
              </w:rPr>
            </w:pPr>
            <w:r>
              <w:rPr>
                <w:rFonts w:hint="eastAsia"/>
                <w:lang w:val="en-US" w:eastAsia="zh-CN"/>
              </w:rPr>
              <w:t>5</w:t>
            </w:r>
          </w:p>
        </w:tc>
        <w:tc>
          <w:tcPr>
            <w:tcW w:w="612" w:type="dxa"/>
            <w:vAlign w:val="center"/>
          </w:tcPr>
          <w:p>
            <w:pPr>
              <w:pStyle w:val="14"/>
              <w:widowControl w:val="0"/>
            </w:pPr>
            <w:r>
              <w:rPr>
                <w:rFonts w:hint="eastAsia"/>
                <w:lang w:val="en-US" w:eastAsia="zh-CN"/>
              </w:rPr>
              <w:t>30</w:t>
            </w:r>
          </w:p>
        </w:tc>
        <w:tc>
          <w:tcPr>
            <w:tcW w:w="612" w:type="dxa"/>
            <w:vAlign w:val="center"/>
          </w:tcPr>
          <w:p>
            <w:pPr>
              <w:pStyle w:val="14"/>
              <w:widowControl w:val="0"/>
              <w:rPr>
                <w:rFonts w:hint="eastAsia" w:eastAsia="宋体"/>
                <w:lang w:val="en-US" w:eastAsia="zh-CN"/>
              </w:rPr>
            </w:pPr>
            <w:r>
              <w:rPr>
                <w:rFonts w:hint="eastAsia"/>
                <w:lang w:val="en-US" w:eastAsia="zh-CN"/>
              </w:rPr>
              <w:t>5</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top"/>
          </w:tcPr>
          <w:p>
            <w:pPr>
              <w:pStyle w:val="14"/>
              <w:widowControl w:val="0"/>
              <w:rPr>
                <w:rFonts w:hint="eastAsia"/>
                <w:lang w:val="en-US" w:eastAsia="zh-CN"/>
              </w:rPr>
            </w:pPr>
            <w:r>
              <w:rPr>
                <w:rFonts w:hint="eastAsia"/>
                <w:lang w:val="en-US" w:eastAsia="zh-CN"/>
              </w:rPr>
              <w:t>20%</w:t>
            </w:r>
          </w:p>
        </w:tc>
        <w:tc>
          <w:tcPr>
            <w:tcW w:w="2353" w:type="dxa"/>
            <w:tcBorders>
              <w:right w:val="double" w:color="auto" w:sz="4" w:space="0"/>
            </w:tcBorders>
            <w:vAlign w:val="top"/>
          </w:tcPr>
          <w:p>
            <w:pPr>
              <w:pStyle w:val="14"/>
              <w:widowControl w:val="0"/>
              <w:rPr>
                <w:rFonts w:hint="eastAsia"/>
                <w:lang w:val="en-US" w:eastAsia="zh-CN"/>
              </w:rPr>
            </w:pPr>
            <w:r>
              <w:rPr>
                <w:rFonts w:hint="eastAsia"/>
                <w:lang w:val="en-US" w:eastAsia="zh-CN"/>
              </w:rPr>
              <w:t>作业习题</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40</w:t>
            </w: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pPr>
            <w:r>
              <w:rPr>
                <w:rFonts w:hint="eastAsia"/>
                <w:lang w:val="en-US" w:eastAsia="zh-CN"/>
              </w:rPr>
              <w:t>60</w:t>
            </w: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top"/>
          </w:tcPr>
          <w:p>
            <w:pPr>
              <w:pStyle w:val="14"/>
              <w:widowControl w:val="0"/>
              <w:rPr>
                <w:rFonts w:hint="eastAsia"/>
                <w:lang w:val="en-US" w:eastAsia="zh-CN"/>
              </w:rPr>
            </w:pPr>
            <w:r>
              <w:rPr>
                <w:rFonts w:hint="eastAsia"/>
                <w:lang w:val="en-US" w:eastAsia="zh-CN"/>
              </w:rPr>
              <w:t>20%</w:t>
            </w:r>
          </w:p>
        </w:tc>
        <w:tc>
          <w:tcPr>
            <w:tcW w:w="2353" w:type="dxa"/>
            <w:tcBorders>
              <w:right w:val="double" w:color="auto" w:sz="4" w:space="0"/>
            </w:tcBorders>
            <w:vAlign w:val="top"/>
          </w:tcPr>
          <w:p>
            <w:pPr>
              <w:pStyle w:val="14"/>
              <w:widowControl w:val="0"/>
              <w:rPr>
                <w:rFonts w:hint="eastAsia"/>
                <w:lang w:val="en-US" w:eastAsia="zh-CN"/>
              </w:rPr>
            </w:pPr>
            <w:r>
              <w:rPr>
                <w:rFonts w:hint="eastAsia"/>
                <w:lang w:val="en-US" w:eastAsia="zh-CN"/>
              </w:rPr>
              <w:t>课堂表现</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80</w:t>
            </w:r>
          </w:p>
        </w:tc>
        <w:tc>
          <w:tcPr>
            <w:tcW w:w="612" w:type="dxa"/>
            <w:vAlign w:val="center"/>
          </w:tcPr>
          <w:p>
            <w:pPr>
              <w:pStyle w:val="14"/>
              <w:widowControl w:val="0"/>
            </w:pP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top"/>
          </w:tcPr>
          <w:p>
            <w:pPr>
              <w:pStyle w:val="14"/>
              <w:widowControl w:val="0"/>
              <w:rPr>
                <w:rFonts w:hint="eastAsia"/>
                <w:lang w:val="en-US" w:eastAsia="zh-CN"/>
              </w:rPr>
            </w:pPr>
            <w:r>
              <w:rPr>
                <w:rFonts w:hint="eastAsia"/>
                <w:lang w:val="en-US" w:eastAsia="zh-CN"/>
              </w:rPr>
              <w:t>10%</w:t>
            </w:r>
          </w:p>
        </w:tc>
        <w:tc>
          <w:tcPr>
            <w:tcW w:w="2353" w:type="dxa"/>
            <w:tcBorders>
              <w:right w:val="double" w:color="auto" w:sz="4" w:space="0"/>
            </w:tcBorders>
            <w:vAlign w:val="top"/>
          </w:tcPr>
          <w:p>
            <w:pPr>
              <w:pStyle w:val="14"/>
              <w:widowControl w:val="0"/>
              <w:rPr>
                <w:rFonts w:hint="eastAsia"/>
                <w:lang w:val="en-US" w:eastAsia="zh-CN"/>
              </w:rPr>
            </w:pPr>
            <w:r>
              <w:rPr>
                <w:rFonts w:hint="eastAsia"/>
                <w:lang w:val="en-US" w:eastAsia="zh-CN"/>
              </w:rPr>
              <w:t>调查报告</w:t>
            </w:r>
          </w:p>
        </w:tc>
        <w:tc>
          <w:tcPr>
            <w:tcW w:w="612" w:type="dxa"/>
            <w:tcBorders>
              <w:left w:val="double" w:color="auto" w:sz="4" w:space="0"/>
            </w:tcBorders>
            <w:vAlign w:val="center"/>
          </w:tcPr>
          <w:p>
            <w:pPr>
              <w:pStyle w:val="14"/>
              <w:widowControl w:val="0"/>
            </w:pPr>
          </w:p>
        </w:tc>
        <w:tc>
          <w:tcPr>
            <w:tcW w:w="612" w:type="dxa"/>
            <w:vAlign w:val="center"/>
          </w:tcPr>
          <w:p>
            <w:pPr>
              <w:pStyle w:val="14"/>
              <w:widowControl w:val="0"/>
              <w:rPr>
                <w:rFonts w:hint="default" w:eastAsia="宋体"/>
                <w:lang w:val="en-US" w:eastAsia="zh-CN"/>
              </w:rPr>
            </w:pPr>
            <w:r>
              <w:rPr>
                <w:rFonts w:hint="eastAsia"/>
                <w:lang w:val="en-US" w:eastAsia="zh-CN"/>
              </w:rPr>
              <w:t>80</w:t>
            </w: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pPr>
              <w:pStyle w:val="14"/>
              <w:widowControl w:val="0"/>
            </w:pPr>
            <w:r>
              <w:rPr>
                <w:rFonts w:hint="eastAsia"/>
              </w:rPr>
              <w:t>1</w:t>
            </w:r>
            <w:r>
              <w:t>00</w:t>
            </w:r>
          </w:p>
        </w:tc>
      </w:tr>
    </w:tbl>
    <w:p>
      <w:pPr>
        <w:pStyle w:val="16"/>
        <w:rPr>
          <w:rFonts w:hint="eastAsia" w:ascii="黑体" w:hAnsi="宋体"/>
          <w:sz w:val="18"/>
          <w:szCs w:val="16"/>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D90D6"/>
    <w:multiLevelType w:val="singleLevel"/>
    <w:tmpl w:val="C61D90D6"/>
    <w:lvl w:ilvl="0" w:tentative="0">
      <w:start w:val="1"/>
      <w:numFmt w:val="decimal"/>
      <w:suff w:val="nothing"/>
      <w:lvlText w:val="%1、"/>
      <w:lvlJc w:val="left"/>
    </w:lvl>
  </w:abstractNum>
  <w:abstractNum w:abstractNumId="1">
    <w:nsid w:val="D0977A74"/>
    <w:multiLevelType w:val="singleLevel"/>
    <w:tmpl w:val="D0977A7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iZGVkMjg3MTZhOTk1YjI2MDM5MjZkNGQ2NGYzYzg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36D035E"/>
    <w:rsid w:val="052335BB"/>
    <w:rsid w:val="0771584B"/>
    <w:rsid w:val="0A0F11D6"/>
    <w:rsid w:val="0A8128A6"/>
    <w:rsid w:val="0BF32A1B"/>
    <w:rsid w:val="0C747AF0"/>
    <w:rsid w:val="0F0A42F4"/>
    <w:rsid w:val="10BD2C22"/>
    <w:rsid w:val="1F3C4E81"/>
    <w:rsid w:val="227B501C"/>
    <w:rsid w:val="22987C80"/>
    <w:rsid w:val="236773C3"/>
    <w:rsid w:val="24192CCC"/>
    <w:rsid w:val="2A1B63F2"/>
    <w:rsid w:val="2B213645"/>
    <w:rsid w:val="2E1D7542"/>
    <w:rsid w:val="2EC12D7E"/>
    <w:rsid w:val="3061701B"/>
    <w:rsid w:val="320478DA"/>
    <w:rsid w:val="35A90F1B"/>
    <w:rsid w:val="39404978"/>
    <w:rsid w:val="39A66CD4"/>
    <w:rsid w:val="3BBA52A8"/>
    <w:rsid w:val="3CD52CE1"/>
    <w:rsid w:val="410F2E6A"/>
    <w:rsid w:val="4430136C"/>
    <w:rsid w:val="47D0714C"/>
    <w:rsid w:val="4AB0382B"/>
    <w:rsid w:val="50DB3D9F"/>
    <w:rsid w:val="53E26A61"/>
    <w:rsid w:val="569868B5"/>
    <w:rsid w:val="5B8A4DD9"/>
    <w:rsid w:val="5C7B084D"/>
    <w:rsid w:val="60ED23E5"/>
    <w:rsid w:val="611F6817"/>
    <w:rsid w:val="64E71501"/>
    <w:rsid w:val="66CA1754"/>
    <w:rsid w:val="66F16B9E"/>
    <w:rsid w:val="680B2F59"/>
    <w:rsid w:val="6B1E4B6C"/>
    <w:rsid w:val="6CCD41D3"/>
    <w:rsid w:val="6D4F7B05"/>
    <w:rsid w:val="6DAD27AA"/>
    <w:rsid w:val="6DFA6436"/>
    <w:rsid w:val="6F1E65D4"/>
    <w:rsid w:val="6F266C86"/>
    <w:rsid w:val="6F5042C2"/>
    <w:rsid w:val="740436A2"/>
    <w:rsid w:val="74316312"/>
    <w:rsid w:val="75885216"/>
    <w:rsid w:val="7614190F"/>
    <w:rsid w:val="76B4112D"/>
    <w:rsid w:val="76BE03F1"/>
    <w:rsid w:val="780F13C8"/>
    <w:rsid w:val="786D6A2C"/>
    <w:rsid w:val="7C385448"/>
    <w:rsid w:val="7CB3663D"/>
    <w:rsid w:val="7F4713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3563</Words>
  <Characters>3672</Characters>
  <Lines>6</Lines>
  <Paragraphs>1</Paragraphs>
  <TotalTime>1</TotalTime>
  <ScaleCrop>false</ScaleCrop>
  <LinksUpToDate>false</LinksUpToDate>
  <CharactersWithSpaces>3719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xw119</cp:lastModifiedBy>
  <cp:lastPrinted>2024-03-17T03:13:00Z</cp:lastPrinted>
  <dcterms:modified xsi:type="dcterms:W3CDTF">2024-03-17T03:57:28Z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12F4C96808FE4C5A9608C5F7FF357EC1_13</vt:lpwstr>
  </property>
</Properties>
</file>