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【民族器乐——二胡】</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color w:val="000000"/>
        </w:rPr>
        <w:t>Instrumental music</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2138036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【全校任选】</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教材【二胡练习曲选</w:t>
      </w:r>
      <w:r>
        <w:rPr>
          <w:rFonts w:hint="eastAsia"/>
          <w:color w:val="000000"/>
          <w:sz w:val="20"/>
          <w:szCs w:val="20"/>
        </w:rPr>
        <w:t>（王国童）人民音乐出版社</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highlight w:val="yellow"/>
        </w:rPr>
        <w:t>参考</w:t>
      </w:r>
      <w:r>
        <w:rPr>
          <w:rFonts w:hint="eastAsia"/>
          <w:color w:val="000000"/>
          <w:sz w:val="20"/>
          <w:szCs w:val="20"/>
          <w:highlight w:val="yellow"/>
        </w:rPr>
        <w:t>书目</w:t>
      </w:r>
      <w:r>
        <w:rPr>
          <w:color w:val="000000"/>
          <w:sz w:val="20"/>
          <w:szCs w:val="20"/>
          <w:highlight w:val="yellow"/>
        </w:rPr>
        <w:t>【二胡曲选（上海音乐学院民乐系）上海文艺出版社；二胡曲集；上海音乐出版社】</w:t>
      </w:r>
    </w:p>
    <w:p>
      <w:pPr>
        <w:snapToGrid w:val="0"/>
        <w:spacing w:line="288" w:lineRule="auto"/>
        <w:ind w:firstLine="394" w:firstLineChars="196"/>
        <w:rPr>
          <w:color w:val="000000"/>
          <w:sz w:val="20"/>
          <w:szCs w:val="20"/>
          <w:highlight w:val="yellow"/>
        </w:rPr>
      </w:pPr>
      <w:r>
        <w:rPr>
          <w:rFonts w:hint="eastAsia"/>
          <w:b/>
          <w:bCs/>
          <w:color w:val="000000"/>
          <w:sz w:val="20"/>
          <w:szCs w:val="20"/>
          <w:highlight w:val="yellow"/>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【需列出先修课程的名称、代码和学分数</w:t>
      </w:r>
      <w:r>
        <w:rPr>
          <w:rFonts w:hint="eastAsia"/>
          <w:color w:val="000000"/>
          <w:sz w:val="20"/>
          <w:szCs w:val="20"/>
        </w:rPr>
        <w:t>。</w:t>
      </w:r>
      <w:r>
        <w:rPr>
          <w:color w:val="000000"/>
          <w:sz w:val="20"/>
          <w:szCs w:val="20"/>
        </w:rPr>
        <w:t>例：高等数学A 010001（5）】</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pStyle w:val="5"/>
        <w:rPr>
          <w:rFonts w:ascii="微软雅黑" w:hAnsi="微软雅黑" w:eastAsia="微软雅黑"/>
          <w:color w:val="000000"/>
          <w:sz w:val="27"/>
          <w:szCs w:val="27"/>
        </w:rPr>
      </w:pPr>
      <w:r>
        <w:rPr>
          <w:rFonts w:hint="eastAsia" w:ascii="黑体" w:hAnsi="黑体" w:eastAsia="黑体"/>
          <w:color w:val="000000"/>
        </w:rPr>
        <w:t>1、课程性质与目的</w:t>
      </w:r>
    </w:p>
    <w:p>
      <w:pPr>
        <w:pStyle w:val="5"/>
        <w:ind w:firstLine="500" w:firstLineChars="250"/>
        <w:rPr>
          <w:rFonts w:ascii="微软雅黑" w:hAnsi="微软雅黑" w:eastAsia="微软雅黑"/>
          <w:color w:val="000000"/>
          <w:sz w:val="27"/>
          <w:szCs w:val="27"/>
        </w:rPr>
      </w:pPr>
      <w:r>
        <w:rPr>
          <w:rFonts w:hint="eastAsia"/>
          <w:color w:val="000000"/>
          <w:sz w:val="20"/>
          <w:szCs w:val="20"/>
        </w:rPr>
        <w:t>民族器乐课是学习中国民族传统乐器二胡的演奏技能技法的课程。本课从了解二胡乐器的历史入门，然后从乐器的构造及演奏的基本方法开始学习，在掌握了一定的弦法和技能技巧后再结合民族优秀的传统乐曲作进一步了解和训练。传统的乐器和乐曲不仅可以使大学生在实践中产生对民族文化的喜爱，同时也使大学生在接受和传承传统中华文化的信念上和发展中华文化精神上立场更加坚定，本课在乐器和乐曲的双重熏陶实践的过程中也使得学生的内心世界里充满着民族的自豪感和责任心。</w:t>
      </w:r>
    </w:p>
    <w:p>
      <w:pPr>
        <w:pStyle w:val="5"/>
        <w:rPr>
          <w:rFonts w:ascii="微软雅黑" w:hAnsi="微软雅黑" w:eastAsia="微软雅黑"/>
          <w:color w:val="000000"/>
          <w:sz w:val="27"/>
          <w:szCs w:val="27"/>
        </w:rPr>
      </w:pPr>
      <w:r>
        <w:rPr>
          <w:rFonts w:hint="eastAsia" w:ascii="黑体" w:hAnsi="黑体" w:eastAsia="黑体"/>
          <w:color w:val="000000"/>
        </w:rPr>
        <w:t>2、课程简介</w:t>
      </w:r>
    </w:p>
    <w:p>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hint="eastAsia"/>
          <w:color w:val="000000"/>
          <w:sz w:val="20"/>
          <w:szCs w:val="20"/>
        </w:rPr>
        <w:t>本课程是面向我校全体学生开设的一门综合教育选修课。二胡是中华民族的传统乐器，至今已有近千年历史。课程从基本常识和基础技法开始。持琴，握弓，拉奏，弦法，音阶，练习曲，乐曲，一步一步顺序而入，任何有兴趣有信心、爱学习的有基础或无基础的学习者都可以通过不同的实践训练能掌握一定的技巧并取得较大的收获。</w:t>
      </w:r>
    </w:p>
    <w:p>
      <w:pPr>
        <w:pStyle w:val="5"/>
        <w:rPr>
          <w:rFonts w:ascii="微软雅黑" w:hAnsi="微软雅黑" w:eastAsia="微软雅黑"/>
          <w:color w:val="000000"/>
          <w:sz w:val="27"/>
          <w:szCs w:val="27"/>
        </w:rPr>
      </w:pPr>
    </w:p>
    <w:p>
      <w:pPr>
        <w:pStyle w:val="5"/>
        <w:rPr>
          <w:rFonts w:ascii="微软雅黑" w:hAnsi="微软雅黑" w:eastAsia="微软雅黑"/>
          <w:color w:val="000000"/>
          <w:sz w:val="27"/>
          <w:szCs w:val="27"/>
        </w:rPr>
      </w:pPr>
      <w:r>
        <w:rPr>
          <w:rFonts w:hint="eastAsia" w:ascii="微软雅黑" w:hAnsi="微软雅黑" w:eastAsia="微软雅黑"/>
          <w:color w:val="000000"/>
          <w:sz w:val="27"/>
          <w:szCs w:val="27"/>
        </w:rPr>
        <w:t>  </w:t>
      </w:r>
      <w:r>
        <w:rPr>
          <w:rFonts w:ascii="黑体" w:eastAsia="黑体"/>
        </w:rPr>
        <w:t>三</w:t>
      </w:r>
      <w:r>
        <w:rPr>
          <w:rFonts w:hint="eastAsia" w:ascii="黑体" w:eastAsia="黑体"/>
        </w:rPr>
        <w:t>、</w:t>
      </w:r>
      <w:r>
        <w:rPr>
          <w:rFonts w:ascii="黑体" w:eastAsia="黑体"/>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民族器乐（二胡）</w:t>
      </w:r>
      <w:r>
        <w:rPr>
          <w:color w:val="000000"/>
          <w:sz w:val="20"/>
          <w:szCs w:val="20"/>
        </w:rPr>
        <w:t>》课程是一门传统文化与艺术技能相结合的音乐素质课，在实际的音乐活动实践中有一定的实用价值。有一定爱好器乐的同学均可通过本课程的学习提高自身对传统文化的进一步了解，同时，可迅速学习掌控到二胡的基本操控技法和演奏能力。一般没有基础但爱好民族器乐的同学都可以通过本课程努力学习，能较快地掌握该乐器的基本演奏技巧基本功。一般情况下，掌握了一门民族乐器后，就能对其它民族乐器加深理解，这样，就为以后学习其它乐器和音乐的活动打下良好的基础。（目前，乐器二胡需自备</w:t>
      </w:r>
      <w:r>
        <w:rPr>
          <w:rFonts w:hint="eastAsia"/>
          <w:color w:val="000000"/>
          <w:sz w:val="20"/>
          <w:szCs w:val="20"/>
        </w:rPr>
        <w:t>,年级专业不限，本课人数限定为15人</w:t>
      </w:r>
      <w:r>
        <w:rPr>
          <w:color w:val="000000"/>
          <w:sz w:val="20"/>
          <w:szCs w:val="20"/>
        </w:rPr>
        <w:t>）</w:t>
      </w: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1.了解乐器的基本建构，原理及发展史</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示范指导式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2.左、右手的任务及其分工，运弓技巧，左手把位</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模仿跟进式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3.D调弦（15）法，G调弦（52）法。第一、二把位自由换把</w:t>
            </w:r>
          </w:p>
        </w:tc>
        <w:tc>
          <w:tcPr>
            <w:tcW w:w="2199" w:type="dxa"/>
            <w:shd w:val="clear" w:color="auto" w:fill="auto"/>
          </w:tcPr>
          <w:p>
            <w:pPr>
              <w:tabs>
                <w:tab w:val="left" w:pos="420"/>
              </w:tabs>
              <w:snapToGrid w:val="0"/>
              <w:spacing w:line="288" w:lineRule="auto"/>
              <w:rPr>
                <w:rFonts w:ascii="黑体" w:hAnsi="宋体" w:eastAsia="黑体"/>
                <w:sz w:val="24"/>
              </w:rPr>
            </w:pPr>
            <w:r>
              <w:rPr>
                <w:rFonts w:ascii="黑体" w:hAnsi="宋体" w:eastAsia="黑体"/>
                <w:sz w:val="24"/>
              </w:rPr>
              <w:tab/>
            </w:r>
            <w:r>
              <w:rPr>
                <w:rFonts w:ascii="黑体" w:hAnsi="宋体" w:eastAsia="黑体"/>
                <w:sz w:val="24"/>
              </w:rPr>
              <w:t>理论实践鉴赏传授式</w:t>
            </w:r>
          </w:p>
        </w:tc>
        <w:tc>
          <w:tcPr>
            <w:tcW w:w="1276" w:type="dxa"/>
            <w:shd w:val="clear" w:color="auto" w:fill="auto"/>
          </w:tcPr>
          <w:p>
            <w:pPr>
              <w:snapToGrid w:val="0"/>
              <w:spacing w:line="288" w:lineRule="auto"/>
              <w:jc w:val="center"/>
              <w:rPr>
                <w:rFonts w:ascii="黑体" w:hAnsi="宋体" w:eastAsia="黑体"/>
                <w:sz w:val="24"/>
              </w:rPr>
            </w:pPr>
          </w:p>
          <w:p>
            <w:pP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4.十首以上乐曲演奏能力</w:t>
            </w:r>
          </w:p>
        </w:tc>
        <w:tc>
          <w:tcPr>
            <w:tcW w:w="2199" w:type="dxa"/>
            <w:shd w:val="clear" w:color="auto" w:fill="auto"/>
          </w:tcPr>
          <w:p>
            <w:pPr>
              <w:snapToGrid w:val="0"/>
              <w:spacing w:line="288" w:lineRule="auto"/>
              <w:jc w:val="center"/>
              <w:rPr>
                <w:rFonts w:ascii="黑体" w:hAnsi="宋体" w:eastAsia="黑体"/>
                <w:sz w:val="24"/>
              </w:rPr>
            </w:pPr>
            <w:r>
              <w:rPr>
                <w:rFonts w:ascii="黑体" w:hAnsi="宋体" w:eastAsia="黑体"/>
                <w:sz w:val="24"/>
              </w:rPr>
              <w:t>身体力行亲授式</w:t>
            </w:r>
          </w:p>
        </w:tc>
        <w:tc>
          <w:tcPr>
            <w:tcW w:w="1276" w:type="dxa"/>
            <w:shd w:val="clear" w:color="auto" w:fill="auto"/>
          </w:tcPr>
          <w:p>
            <w:pPr>
              <w:snapToGrid w:val="0"/>
              <w:spacing w:line="288" w:lineRule="auto"/>
              <w:jc w:val="center"/>
              <w:rPr>
                <w:rFonts w:ascii="黑体" w:hAnsi="宋体" w:eastAsia="黑体"/>
                <w:sz w:val="24"/>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snapToGrid w:val="0"/>
        <w:spacing w:line="288" w:lineRule="auto"/>
        <w:ind w:right="26" w:firstLine="492" w:firstLineChars="245"/>
        <w:rPr>
          <w:b/>
          <w:bCs/>
          <w:color w:val="000000"/>
          <w:sz w:val="20"/>
          <w:szCs w:val="20"/>
        </w:rPr>
      </w:pPr>
    </w:p>
    <w:p>
      <w:pPr>
        <w:snapToGrid w:val="0"/>
        <w:spacing w:line="288" w:lineRule="auto"/>
        <w:ind w:right="26" w:firstLine="492" w:firstLineChars="245"/>
        <w:rPr>
          <w:b/>
          <w:bCs/>
          <w:color w:val="000000"/>
          <w:sz w:val="20"/>
          <w:szCs w:val="20"/>
        </w:rPr>
      </w:pPr>
      <w:r>
        <w:rPr>
          <w:b/>
          <w:bCs/>
          <w:color w:val="000000"/>
          <w:sz w:val="20"/>
          <w:szCs w:val="20"/>
        </w:rPr>
        <w:t>第一章</w:t>
      </w:r>
      <w:r>
        <w:rPr>
          <w:rFonts w:ascii="Times New Roman" w:hAnsi="Times New Roman"/>
          <w:b/>
          <w:bCs/>
          <w:color w:val="000000"/>
          <w:sz w:val="20"/>
          <w:szCs w:val="20"/>
        </w:rPr>
        <w:t> </w:t>
      </w:r>
      <w:r>
        <w:rPr>
          <w:b/>
          <w:bCs/>
          <w:color w:val="000000"/>
          <w:sz w:val="20"/>
          <w:szCs w:val="20"/>
        </w:rPr>
        <w:t>民族器乐概论（</w:t>
      </w:r>
      <w:r>
        <w:rPr>
          <w:rFonts w:ascii="Times New Roman" w:hAnsi="Times New Roman"/>
          <w:b/>
          <w:bCs/>
          <w:color w:val="000000"/>
          <w:sz w:val="20"/>
          <w:szCs w:val="20"/>
        </w:rPr>
        <w:t>2</w:t>
      </w:r>
      <w:r>
        <w:rPr>
          <w:b/>
          <w:bCs/>
          <w:color w:val="000000"/>
          <w:sz w:val="20"/>
          <w:szCs w:val="20"/>
        </w:rPr>
        <w:t>学时），</w:t>
      </w:r>
      <w:r>
        <w:rPr>
          <w:rFonts w:hint="eastAsia"/>
          <w:color w:val="000000"/>
        </w:rPr>
        <w:t>主要内容：中国的民族乐器类型类别，吹拉弹打，二胡的历史演奏，二胡的基本构造，二胡的基本演奏法和名曲鉴赏</w:t>
      </w:r>
      <w:r>
        <w:rPr>
          <w:b/>
          <w:bCs/>
          <w:color w:val="000000"/>
          <w:sz w:val="20"/>
          <w:szCs w:val="20"/>
        </w:rPr>
        <w:t>；第二章</w:t>
      </w:r>
      <w:r>
        <w:rPr>
          <w:rFonts w:ascii="Times New Roman" w:hAnsi="Times New Roman"/>
          <w:b/>
          <w:bCs/>
          <w:color w:val="000000"/>
          <w:sz w:val="20"/>
          <w:szCs w:val="20"/>
        </w:rPr>
        <w:t>  </w:t>
      </w:r>
      <w:r>
        <w:rPr>
          <w:b/>
          <w:bCs/>
          <w:color w:val="000000"/>
          <w:sz w:val="20"/>
          <w:szCs w:val="20"/>
        </w:rPr>
        <w:t>左右手的基本方法与技巧（</w:t>
      </w:r>
      <w:r>
        <w:rPr>
          <w:rFonts w:hint="eastAsia" w:ascii="Times New Roman" w:hAnsi="Times New Roman"/>
          <w:b/>
          <w:bCs/>
          <w:color w:val="000000"/>
          <w:sz w:val="20"/>
          <w:szCs w:val="20"/>
        </w:rPr>
        <w:t>6</w:t>
      </w:r>
      <w:r>
        <w:rPr>
          <w:b/>
          <w:bCs/>
          <w:color w:val="000000"/>
          <w:sz w:val="20"/>
          <w:szCs w:val="20"/>
        </w:rPr>
        <w:t>学时），</w:t>
      </w:r>
      <w:r>
        <w:rPr>
          <w:rFonts w:hint="eastAsia"/>
          <w:color w:val="000000"/>
        </w:rPr>
        <w:t>主要内容：模仿手型及姿势，掌握持弓，拉弓的要领，正确的握琴及运用手指</w:t>
      </w:r>
      <w:r>
        <w:rPr>
          <w:b/>
          <w:bCs/>
          <w:color w:val="000000"/>
          <w:sz w:val="20"/>
          <w:szCs w:val="20"/>
        </w:rPr>
        <w:t>；第三章</w:t>
      </w:r>
      <w:r>
        <w:rPr>
          <w:rFonts w:ascii="Times New Roman" w:hAnsi="Times New Roman"/>
          <w:b/>
          <w:bCs/>
          <w:color w:val="000000"/>
          <w:sz w:val="20"/>
          <w:szCs w:val="20"/>
        </w:rPr>
        <w:t>  15</w:t>
      </w:r>
      <w:r>
        <w:rPr>
          <w:b/>
          <w:bCs/>
          <w:color w:val="000000"/>
          <w:sz w:val="20"/>
          <w:szCs w:val="20"/>
        </w:rPr>
        <w:t>弦弦法（</w:t>
      </w:r>
      <w:r>
        <w:rPr>
          <w:rFonts w:ascii="Times New Roman" w:hAnsi="Times New Roman"/>
          <w:b/>
          <w:bCs/>
          <w:color w:val="000000"/>
          <w:sz w:val="20"/>
          <w:szCs w:val="20"/>
        </w:rPr>
        <w:t>1</w:t>
      </w:r>
      <w:r>
        <w:rPr>
          <w:rFonts w:hint="eastAsia" w:ascii="Times New Roman" w:hAnsi="Times New Roman"/>
          <w:b/>
          <w:bCs/>
          <w:color w:val="000000"/>
          <w:sz w:val="20"/>
          <w:szCs w:val="20"/>
        </w:rPr>
        <w:t>2</w:t>
      </w:r>
      <w:r>
        <w:rPr>
          <w:b/>
          <w:bCs/>
          <w:color w:val="000000"/>
          <w:sz w:val="20"/>
          <w:szCs w:val="20"/>
        </w:rPr>
        <w:t>学时）；第四章</w:t>
      </w:r>
      <w:r>
        <w:rPr>
          <w:rFonts w:ascii="Times New Roman" w:hAnsi="Times New Roman"/>
          <w:b/>
          <w:bCs/>
          <w:color w:val="000000"/>
          <w:sz w:val="20"/>
          <w:szCs w:val="20"/>
        </w:rPr>
        <w:t>  52</w:t>
      </w:r>
      <w:r>
        <w:rPr>
          <w:b/>
          <w:bCs/>
          <w:color w:val="000000"/>
          <w:sz w:val="20"/>
          <w:szCs w:val="20"/>
        </w:rPr>
        <w:t>弦弦法（</w:t>
      </w:r>
      <w:r>
        <w:rPr>
          <w:rFonts w:hint="eastAsia" w:ascii="Times New Roman" w:hAnsi="Times New Roman"/>
          <w:b/>
          <w:bCs/>
          <w:color w:val="000000"/>
          <w:sz w:val="20"/>
          <w:szCs w:val="20"/>
        </w:rPr>
        <w:t>12</w:t>
      </w:r>
      <w:r>
        <w:rPr>
          <w:b/>
          <w:bCs/>
          <w:color w:val="000000"/>
          <w:sz w:val="20"/>
          <w:szCs w:val="20"/>
        </w:rPr>
        <w:t>学时），</w:t>
      </w:r>
      <w:r>
        <w:rPr>
          <w:color w:val="000000"/>
          <w:sz w:val="20"/>
          <w:szCs w:val="20"/>
        </w:rPr>
        <w:t>主要内容：学习二胡</w:t>
      </w:r>
      <w:r>
        <w:rPr>
          <w:rFonts w:ascii="Times New Roman" w:hAnsi="Times New Roman"/>
          <w:color w:val="000000"/>
          <w:sz w:val="20"/>
          <w:szCs w:val="20"/>
        </w:rPr>
        <w:t>5</w:t>
      </w:r>
      <w:r>
        <w:rPr>
          <w:rFonts w:hint="eastAsia" w:ascii="Times New Roman" w:hAnsi="Times New Roman"/>
          <w:color w:val="000000"/>
          <w:sz w:val="20"/>
          <w:szCs w:val="20"/>
        </w:rPr>
        <w:t>2</w:t>
      </w:r>
      <w:r>
        <w:rPr>
          <w:color w:val="000000"/>
          <w:sz w:val="20"/>
          <w:szCs w:val="20"/>
        </w:rPr>
        <w:t>弦弦法，掌握音阶及左手手指持琴按弦的正确位置，拉奏</w:t>
      </w:r>
      <w:r>
        <w:rPr>
          <w:rFonts w:ascii="Times New Roman" w:hAnsi="Times New Roman"/>
          <w:color w:val="000000"/>
          <w:sz w:val="20"/>
          <w:szCs w:val="20"/>
        </w:rPr>
        <w:t>15</w:t>
      </w:r>
      <w:r>
        <w:rPr>
          <w:color w:val="000000"/>
          <w:sz w:val="20"/>
          <w:szCs w:val="20"/>
        </w:rPr>
        <w:t>弦的音阶练习曲及简单乐曲</w:t>
      </w:r>
      <w:r>
        <w:rPr>
          <w:b/>
          <w:bCs/>
          <w:color w:val="000000"/>
          <w:sz w:val="20"/>
          <w:szCs w:val="20"/>
        </w:rPr>
        <w:t>；</w:t>
      </w:r>
    </w:p>
    <w:p>
      <w:pPr>
        <w:snapToGrid w:val="0"/>
        <w:spacing w:line="288" w:lineRule="auto"/>
        <w:ind w:right="26" w:firstLine="490" w:firstLineChars="245"/>
        <w:rPr>
          <w:sz w:val="20"/>
          <w:szCs w:val="20"/>
        </w:rPr>
      </w:pPr>
      <w:r>
        <w:rPr>
          <w:sz w:val="20"/>
          <w:szCs w:val="20"/>
        </w:rPr>
        <w:t>本乐器最大的难点是</w:t>
      </w:r>
      <w:r>
        <w:rPr>
          <w:rFonts w:hint="eastAsia"/>
          <w:sz w:val="20"/>
          <w:szCs w:val="20"/>
        </w:rPr>
        <w:t>右手运弓不稳，左手手型错位，双手运作不协调，因此，教师必须身传言教，手把手，个别与集体相结合的范式予以教学。</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rPr>
              <w:t>X</w:t>
            </w:r>
            <w:r>
              <w:rPr>
                <w:rFonts w:hint="eastAsia" w:ascii="宋体" w:hAnsi="宋体"/>
                <w:bCs/>
                <w:color w:val="000000"/>
                <w:szCs w:val="20"/>
                <w:highlight w:val="yellow"/>
                <w:lang w:val="en-US" w:eastAsia="zh-CN"/>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rPr>
              <w:t>X</w:t>
            </w:r>
            <w:r>
              <w:rPr>
                <w:rFonts w:hint="eastAsia" w:ascii="宋体" w:hAnsi="宋体"/>
                <w:bCs/>
                <w:color w:val="000000"/>
                <w:szCs w:val="20"/>
                <w:highlight w:val="yellow"/>
                <w:lang w:val="en-US" w:eastAsia="zh-CN"/>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个别演奏与集体配合</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rPr>
              <w:t>X</w:t>
            </w:r>
            <w:r>
              <w:rPr>
                <w:rFonts w:hint="eastAsia" w:ascii="宋体" w:hAnsi="宋体"/>
                <w:bCs/>
                <w:color w:val="000000"/>
                <w:szCs w:val="20"/>
                <w:highlight w:val="yellow"/>
                <w:lang w:val="en-US" w:eastAsia="zh-CN"/>
              </w:rPr>
              <w:t>3</w:t>
            </w:r>
            <w:bookmarkStart w:id="1" w:name="_GoBack"/>
            <w:bookmarkEnd w:id="1"/>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实践现场评估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highlight w:val="cyan"/>
              </w:rPr>
            </w:pPr>
          </w:p>
        </w:tc>
        <w:tc>
          <w:tcPr>
            <w:tcW w:w="5103" w:type="dxa"/>
            <w:shd w:val="clear" w:color="auto" w:fill="auto"/>
          </w:tcPr>
          <w:p>
            <w:pPr>
              <w:snapToGrid w:val="0"/>
              <w:spacing w:before="156" w:beforeLines="50" w:after="156" w:afterLines="50"/>
              <w:jc w:val="center"/>
              <w:rPr>
                <w:rFonts w:ascii="宋体" w:hAnsi="宋体"/>
                <w:bCs/>
                <w:color w:val="000000"/>
                <w:szCs w:val="20"/>
                <w:highlight w:val="cyan"/>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七、评价方式与成绩</w:t>
      </w:r>
      <w:r>
        <w:rPr>
          <w:rFonts w:ascii="黑体" w:hAnsi="宋体" w:eastAsia="黑体"/>
          <w:sz w:val="24"/>
        </w:rPr>
        <w:t>（必填项）</w:t>
      </w: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撰写人：康明安</w:t>
      </w:r>
    </w:p>
    <w:p>
      <w:pPr>
        <w:snapToGrid w:val="0"/>
        <w:spacing w:line="288" w:lineRule="auto"/>
        <w:ind w:firstLine="840" w:firstLineChars="300"/>
        <w:rPr>
          <w:sz w:val="28"/>
          <w:szCs w:val="28"/>
        </w:rPr>
      </w:pP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075A"/>
    <w:rsid w:val="00055E3C"/>
    <w:rsid w:val="0007362F"/>
    <w:rsid w:val="00096A73"/>
    <w:rsid w:val="0017625F"/>
    <w:rsid w:val="0018135D"/>
    <w:rsid w:val="001A772B"/>
    <w:rsid w:val="001C434F"/>
    <w:rsid w:val="001F4A01"/>
    <w:rsid w:val="00256B39"/>
    <w:rsid w:val="0026033C"/>
    <w:rsid w:val="00272BAE"/>
    <w:rsid w:val="00283B1C"/>
    <w:rsid w:val="002D7D3A"/>
    <w:rsid w:val="002E3721"/>
    <w:rsid w:val="002E48EE"/>
    <w:rsid w:val="002F1A16"/>
    <w:rsid w:val="00302D83"/>
    <w:rsid w:val="00313BBA"/>
    <w:rsid w:val="0032602E"/>
    <w:rsid w:val="003367AE"/>
    <w:rsid w:val="00346E09"/>
    <w:rsid w:val="003770AE"/>
    <w:rsid w:val="004100B0"/>
    <w:rsid w:val="00494CEE"/>
    <w:rsid w:val="004E7F4E"/>
    <w:rsid w:val="0050743C"/>
    <w:rsid w:val="00510EC8"/>
    <w:rsid w:val="005464A8"/>
    <w:rsid w:val="005467DC"/>
    <w:rsid w:val="00553D03"/>
    <w:rsid w:val="00567C4A"/>
    <w:rsid w:val="0059353A"/>
    <w:rsid w:val="005B2B6D"/>
    <w:rsid w:val="005B4B4E"/>
    <w:rsid w:val="00624FE1"/>
    <w:rsid w:val="0064546A"/>
    <w:rsid w:val="006B0035"/>
    <w:rsid w:val="006E250B"/>
    <w:rsid w:val="007208D6"/>
    <w:rsid w:val="00764D38"/>
    <w:rsid w:val="007D5AC3"/>
    <w:rsid w:val="00862B03"/>
    <w:rsid w:val="00871825"/>
    <w:rsid w:val="008B397C"/>
    <w:rsid w:val="008B47F4"/>
    <w:rsid w:val="00900019"/>
    <w:rsid w:val="00917DD6"/>
    <w:rsid w:val="0099063E"/>
    <w:rsid w:val="00996F94"/>
    <w:rsid w:val="009C5449"/>
    <w:rsid w:val="009F247E"/>
    <w:rsid w:val="009F6E30"/>
    <w:rsid w:val="00A14578"/>
    <w:rsid w:val="00A73E67"/>
    <w:rsid w:val="00AD6CA2"/>
    <w:rsid w:val="00B3063F"/>
    <w:rsid w:val="00B45A79"/>
    <w:rsid w:val="00B511A5"/>
    <w:rsid w:val="00B728F9"/>
    <w:rsid w:val="00B7651F"/>
    <w:rsid w:val="00B839B1"/>
    <w:rsid w:val="00BA4571"/>
    <w:rsid w:val="00BD5E69"/>
    <w:rsid w:val="00C162D3"/>
    <w:rsid w:val="00C54E80"/>
    <w:rsid w:val="00C56E09"/>
    <w:rsid w:val="00C721FD"/>
    <w:rsid w:val="00CB61D9"/>
    <w:rsid w:val="00CE5340"/>
    <w:rsid w:val="00D2257C"/>
    <w:rsid w:val="00D51F4C"/>
    <w:rsid w:val="00D91CCC"/>
    <w:rsid w:val="00E16D30"/>
    <w:rsid w:val="00E33169"/>
    <w:rsid w:val="00E52C80"/>
    <w:rsid w:val="00E6002B"/>
    <w:rsid w:val="00E70904"/>
    <w:rsid w:val="00EA5FDA"/>
    <w:rsid w:val="00EC412B"/>
    <w:rsid w:val="00EE1EFB"/>
    <w:rsid w:val="00EF44B1"/>
    <w:rsid w:val="00F03BD7"/>
    <w:rsid w:val="00F35AA0"/>
    <w:rsid w:val="00F439E2"/>
    <w:rsid w:val="00F74A9E"/>
    <w:rsid w:val="00FF2C61"/>
    <w:rsid w:val="024B0C39"/>
    <w:rsid w:val="02532BDD"/>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355</Words>
  <Characters>2025</Characters>
  <Lines>16</Lines>
  <Paragraphs>4</Paragraphs>
  <TotalTime>98</TotalTime>
  <ScaleCrop>false</ScaleCrop>
  <LinksUpToDate>false</LinksUpToDate>
  <CharactersWithSpaces>2376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2021-07-02T14:14:00Z</dcterms:created>
  <dc:creator>juvg</dc:creator>
  <cp:lastModifiedBy>禾莯</cp:lastModifiedBy>
  <dcterms:modified xsi:type="dcterms:W3CDTF">2021-09-16T09:32:53Z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72D17DD2EDA54F5EB63548C0B21C4D99</vt:lpwstr>
  </property>
</Properties>
</file>