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jc w:val="left"/>
        <w:rPr>
          <w:rFonts w:ascii="楷体" w:hAnsi="楷体" w:eastAsia="楷体" w:cs="宋体"/>
          <w:color w:val="000000"/>
          <w:kern w:val="0"/>
          <w:sz w:val="22"/>
          <w:szCs w:val="22"/>
        </w:rPr>
      </w:pPr>
      <w:r>
        <mc:AlternateContent>
          <mc:Choice Requires="wps">
            <w:drawing>
              <wp:anchor distT="0" distB="0" distL="113665" distR="113665"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wps:spPr>
                      <wps:txbx>
                        <w:txbxContent>
                          <w:p>
                            <w:pPr>
                              <w:autoSpaceDN w:val="0"/>
                              <w:jc w:val="left"/>
                              <w:rPr>
                                <w:rFonts w:ascii="宋体" w:hAnsi="宋体"/>
                                <w:spacing w:val="20"/>
                                <w:sz w:val="24"/>
                              </w:rPr>
                            </w:pPr>
                            <w:r>
                              <w:rPr>
                                <w:rFonts w:ascii="宋体" w:hAnsi="宋体"/>
                                <w:spacing w:val="20"/>
                                <w:sz w:val="24"/>
                              </w:rPr>
                              <w:t>SJQU-QR-JW-026</w:t>
                            </w:r>
                            <w:r>
                              <w:rPr>
                                <w:rFonts w:hint="eastAsia" w:ascii="宋体" w:hAnsi="宋体"/>
                                <w:spacing w:val="20"/>
                                <w:sz w:val="24"/>
                              </w:rPr>
                              <w:t>（</w:t>
                            </w:r>
                            <w:r>
                              <w:rPr>
                                <w:rFonts w:ascii="宋体" w:hAnsi="宋体"/>
                                <w:spacing w:val="20"/>
                                <w:sz w:val="24"/>
                              </w:rPr>
                              <w:t>A0</w:t>
                            </w:r>
                            <w:r>
                              <w:rPr>
                                <w:rFonts w:hint="eastAsia" w:ascii="宋体" w:hAnsi="宋体"/>
                                <w:spacing w:val="20"/>
                                <w:sz w:val="24"/>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yiFD1wAAAAgBAAAPAAAAAAAAAAEAIAAAACIAAABkcnMvZG93bnJldi54bWxQSwECFAAU&#10;AAAACACHTuJAKdIa4isCAAA+BAAADgAAAAAAAAABACAAAAAmAQAAZHJzL2Uyb0RvYy54bWxQSwUG&#10;AAAAAAYABgBZAQAAwwUAAAAA&#10;">
                <v:fill on="t" focussize="0,0"/>
                <v:stroke on="f"/>
                <v:imagedata o:title=""/>
                <o:lock v:ext="edit" aspectratio="f"/>
                <v:textbox>
                  <w:txbxContent>
                    <w:p>
                      <w:pPr>
                        <w:autoSpaceDN w:val="0"/>
                        <w:jc w:val="left"/>
                        <w:rPr>
                          <w:rFonts w:ascii="宋体" w:hAnsi="宋体"/>
                          <w:spacing w:val="20"/>
                          <w:sz w:val="24"/>
                        </w:rPr>
                      </w:pPr>
                      <w:r>
                        <w:rPr>
                          <w:rFonts w:ascii="宋体" w:hAnsi="宋体"/>
                          <w:spacing w:val="20"/>
                          <w:sz w:val="24"/>
                        </w:rPr>
                        <w:t>SJQU-QR-JW-026</w:t>
                      </w:r>
                      <w:r>
                        <w:rPr>
                          <w:rFonts w:hint="eastAsia" w:ascii="宋体" w:hAnsi="宋体"/>
                          <w:spacing w:val="20"/>
                          <w:sz w:val="24"/>
                        </w:rPr>
                        <w:t>（</w:t>
                      </w:r>
                      <w:r>
                        <w:rPr>
                          <w:rFonts w:ascii="宋体" w:hAnsi="宋体"/>
                          <w:spacing w:val="20"/>
                          <w:sz w:val="24"/>
                        </w:rPr>
                        <w:t>A0</w:t>
                      </w:r>
                      <w:r>
                        <w:rPr>
                          <w:rFonts w:hint="eastAsia" w:ascii="宋体" w:hAnsi="宋体"/>
                          <w:spacing w:val="20"/>
                          <w:sz w:val="24"/>
                        </w:rPr>
                        <w:t>）</w:t>
                      </w:r>
                    </w:p>
                  </w:txbxContent>
                </v:textbox>
              </v:shape>
            </w:pict>
          </mc:Fallback>
        </mc:AlternateContent>
      </w:r>
    </w:p>
    <w:p>
      <w:pPr>
        <w:spacing w:line="288" w:lineRule="auto"/>
        <w:jc w:val="center"/>
        <w:rPr>
          <w:b/>
          <w:sz w:val="28"/>
          <w:szCs w:val="30"/>
        </w:rPr>
      </w:pPr>
      <w:r>
        <w:rPr>
          <w:rFonts w:hint="eastAsia"/>
          <w:b/>
          <w:sz w:val="28"/>
          <w:szCs w:val="30"/>
        </w:rPr>
        <w:t>【</w:t>
      </w:r>
      <w:bookmarkStart w:id="0" w:name="OLE_LINK2"/>
      <w:bookmarkStart w:id="1" w:name="OLE_LINK1"/>
      <w:r>
        <w:rPr>
          <w:rFonts w:hint="eastAsia"/>
          <w:b/>
          <w:sz w:val="28"/>
          <w:szCs w:val="30"/>
        </w:rPr>
        <w:t>概率论与数理统计</w:t>
      </w:r>
      <w:bookmarkEnd w:id="0"/>
      <w:bookmarkEnd w:id="1"/>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Arial" w:hAnsi="Arial" w:cs="Arial"/>
          <w:sz w:val="28"/>
          <w:szCs w:val="28"/>
        </w:rPr>
        <w:t>Probability</w:t>
      </w:r>
      <w:r>
        <w:rPr>
          <w:rFonts w:hint="eastAsia" w:ascii="Arial" w:hAnsi="Arial" w:cs="Arial"/>
          <w:sz w:val="28"/>
          <w:szCs w:val="28"/>
        </w:rPr>
        <w:t xml:space="preserve"> Theory </w:t>
      </w:r>
      <w:r>
        <w:rPr>
          <w:rFonts w:ascii="Arial" w:hAnsi="Arial" w:cs="Arial"/>
          <w:sz w:val="28"/>
          <w:szCs w:val="28"/>
        </w:rPr>
        <w:t xml:space="preserve">and </w:t>
      </w:r>
      <w:r>
        <w:rPr>
          <w:rFonts w:hint="eastAsia" w:ascii="Arial" w:hAnsi="Arial" w:cs="Arial"/>
          <w:sz w:val="28"/>
          <w:szCs w:val="28"/>
        </w:rPr>
        <w:t xml:space="preserve">Mathematical </w:t>
      </w:r>
      <w:r>
        <w:rPr>
          <w:rFonts w:ascii="Arial" w:hAnsi="Arial" w:cs="Arial"/>
          <w:sz w:val="28"/>
          <w:szCs w:val="28"/>
        </w:rPr>
        <w:t>statistic</w:t>
      </w:r>
      <w:r>
        <w:rPr>
          <w:rFonts w:hint="eastAsia"/>
          <w:b/>
          <w:sz w:val="28"/>
          <w:szCs w:val="30"/>
        </w:rPr>
        <w:t>】</w:t>
      </w:r>
      <w:bookmarkStart w:id="2" w:name="a2"/>
      <w:bookmarkEnd w:id="2"/>
    </w:p>
    <w:p>
      <w:pPr>
        <w:autoSpaceDN w:val="0"/>
        <w:spacing w:before="120" w:after="156" w:afterLines="50" w:line="288" w:lineRule="auto"/>
        <w:ind w:firstLine="360" w:firstLineChars="150"/>
        <w:rPr>
          <w:rFonts w:cs="Calibri"/>
          <w:b/>
          <w:bCs/>
          <w:color w:val="008080"/>
          <w:sz w:val="30"/>
          <w:szCs w:val="30"/>
        </w:rPr>
      </w:pPr>
      <w:r>
        <w:rPr>
          <w:rFonts w:hint="eastAsia" w:ascii="黑体" w:hAnsi="黑体" w:eastAsia="黑体"/>
          <w:sz w:val="24"/>
        </w:rPr>
        <w:t>一、基本信息</w:t>
      </w:r>
    </w:p>
    <w:p>
      <w:pPr>
        <w:autoSpaceDN w:val="0"/>
        <w:snapToGrid w:val="0"/>
        <w:spacing w:line="288" w:lineRule="auto"/>
        <w:ind w:firstLine="394" w:firstLineChars="196"/>
        <w:rPr>
          <w:rFonts w:cs="Calibri"/>
          <w:color w:val="000000"/>
          <w:sz w:val="20"/>
          <w:szCs w:val="20"/>
        </w:rPr>
      </w:pPr>
      <w:r>
        <w:rPr>
          <w:rFonts w:hint="eastAsia" w:hAnsi="宋体"/>
          <w:b/>
          <w:bCs/>
          <w:color w:val="000000"/>
          <w:sz w:val="20"/>
          <w:szCs w:val="20"/>
        </w:rPr>
        <w:t>课程代码：</w:t>
      </w:r>
      <w:r>
        <w:rPr>
          <w:rFonts w:hint="eastAsia" w:hAnsi="宋体"/>
          <w:color w:val="000000"/>
          <w:sz w:val="20"/>
          <w:szCs w:val="20"/>
        </w:rPr>
        <w:t>【</w:t>
      </w:r>
      <w:r>
        <w:rPr>
          <w:color w:val="000000"/>
          <w:sz w:val="20"/>
          <w:szCs w:val="20"/>
        </w:rPr>
        <w:t>21000</w:t>
      </w:r>
      <w:r>
        <w:rPr>
          <w:rFonts w:hint="eastAsia"/>
          <w:color w:val="000000"/>
          <w:sz w:val="20"/>
          <w:szCs w:val="20"/>
        </w:rPr>
        <w:t>34</w:t>
      </w:r>
      <w:r>
        <w:rPr>
          <w:rFonts w:hint="eastAsia" w:hAnsi="宋体"/>
          <w:color w:val="000000"/>
          <w:sz w:val="20"/>
          <w:szCs w:val="20"/>
        </w:rPr>
        <w:t>】</w:t>
      </w:r>
    </w:p>
    <w:p>
      <w:pPr>
        <w:autoSpaceDN w:val="0"/>
        <w:snapToGrid w:val="0"/>
        <w:spacing w:line="288" w:lineRule="auto"/>
        <w:ind w:firstLine="402" w:firstLineChars="200"/>
        <w:rPr>
          <w:rFonts w:cs="Calibri"/>
          <w:szCs w:val="21"/>
        </w:rPr>
      </w:pPr>
      <w:r>
        <w:rPr>
          <w:rFonts w:hint="eastAsia" w:hAnsi="宋体"/>
          <w:b/>
          <w:bCs/>
          <w:sz w:val="20"/>
          <w:szCs w:val="20"/>
        </w:rPr>
        <w:t>课程学分：</w:t>
      </w:r>
      <w:r>
        <w:rPr>
          <w:rFonts w:hint="eastAsia" w:hAnsi="宋体"/>
          <w:sz w:val="20"/>
          <w:szCs w:val="20"/>
        </w:rPr>
        <w:t>【</w:t>
      </w:r>
      <w:r>
        <w:rPr>
          <w:rFonts w:hint="eastAsia" w:cs="Calibri"/>
          <w:sz w:val="20"/>
          <w:szCs w:val="20"/>
        </w:rPr>
        <w:t>3</w:t>
      </w:r>
      <w:r>
        <w:rPr>
          <w:rFonts w:hint="eastAsia" w:hAnsi="宋体"/>
          <w:sz w:val="20"/>
          <w:szCs w:val="20"/>
        </w:rPr>
        <w:t>】</w:t>
      </w:r>
    </w:p>
    <w:p>
      <w:pPr>
        <w:autoSpaceDN w:val="0"/>
        <w:snapToGrid w:val="0"/>
        <w:spacing w:line="288" w:lineRule="auto"/>
        <w:ind w:firstLine="394" w:firstLineChars="196"/>
        <w:rPr>
          <w:rFonts w:hAnsi="宋体"/>
          <w:b/>
          <w:bCs/>
          <w:sz w:val="20"/>
          <w:szCs w:val="20"/>
        </w:rPr>
      </w:pPr>
      <w:r>
        <w:rPr>
          <w:rFonts w:hint="eastAsia" w:hAnsi="宋体"/>
          <w:b/>
          <w:bCs/>
          <w:sz w:val="20"/>
          <w:szCs w:val="20"/>
        </w:rPr>
        <w:t>面向专业：【工商管理、机械设计制造及自动化】</w:t>
      </w:r>
    </w:p>
    <w:p>
      <w:pPr>
        <w:autoSpaceDN w:val="0"/>
        <w:snapToGrid w:val="0"/>
        <w:spacing w:line="288" w:lineRule="auto"/>
        <w:ind w:firstLine="394" w:firstLineChars="196"/>
        <w:jc w:val="left"/>
        <w:rPr>
          <w:rFonts w:cs="Calibri"/>
          <w:sz w:val="20"/>
          <w:szCs w:val="20"/>
        </w:rPr>
      </w:pPr>
      <w:r>
        <w:rPr>
          <w:rFonts w:hint="eastAsia" w:hAnsi="宋体"/>
          <w:b/>
          <w:bCs/>
          <w:sz w:val="20"/>
          <w:szCs w:val="20"/>
        </w:rPr>
        <w:t>课程性质：</w:t>
      </w:r>
      <w:r>
        <w:rPr>
          <w:sz w:val="20"/>
          <w:szCs w:val="20"/>
        </w:rPr>
        <w:t>【</w:t>
      </w:r>
      <w:r>
        <w:rPr>
          <w:rFonts w:hint="eastAsia"/>
          <w:sz w:val="20"/>
          <w:szCs w:val="20"/>
          <w:lang w:val="en-US" w:eastAsia="zh-CN"/>
        </w:rPr>
        <w:t>公共</w:t>
      </w:r>
      <w:r>
        <w:rPr>
          <w:rFonts w:hint="eastAsia"/>
          <w:sz w:val="20"/>
          <w:szCs w:val="20"/>
        </w:rPr>
        <w:t>基础课</w:t>
      </w:r>
      <w:r>
        <w:rPr>
          <w:sz w:val="20"/>
          <w:szCs w:val="20"/>
        </w:rPr>
        <w:t>】</w:t>
      </w:r>
    </w:p>
    <w:p>
      <w:pPr>
        <w:autoSpaceDN w:val="0"/>
        <w:snapToGrid w:val="0"/>
        <w:spacing w:line="288" w:lineRule="auto"/>
        <w:ind w:firstLine="394" w:firstLineChars="196"/>
        <w:rPr>
          <w:rFonts w:cs="Calibri"/>
          <w:b/>
          <w:bCs/>
          <w:szCs w:val="21"/>
        </w:rPr>
      </w:pPr>
      <w:r>
        <w:rPr>
          <w:rFonts w:hint="eastAsia" w:hAnsi="宋体"/>
          <w:b/>
          <w:bCs/>
          <w:sz w:val="20"/>
          <w:szCs w:val="20"/>
        </w:rPr>
        <w:t>开课院系：</w:t>
      </w:r>
      <w:r>
        <w:rPr>
          <w:rFonts w:hint="eastAsia" w:hAnsi="宋体"/>
          <w:sz w:val="20"/>
          <w:szCs w:val="20"/>
        </w:rPr>
        <w:t>教育学院</w:t>
      </w:r>
    </w:p>
    <w:p>
      <w:pPr>
        <w:snapToGrid w:val="0"/>
        <w:spacing w:line="288" w:lineRule="auto"/>
        <w:ind w:firstLine="394" w:firstLineChars="196"/>
        <w:rPr>
          <w:rFonts w:hAnsi="宋体"/>
          <w:b/>
          <w:bCs/>
          <w:sz w:val="20"/>
          <w:szCs w:val="20"/>
        </w:rPr>
      </w:pPr>
      <w:r>
        <w:rPr>
          <w:rFonts w:hint="eastAsia" w:hAnsi="宋体"/>
          <w:b/>
          <w:bCs/>
          <w:sz w:val="20"/>
          <w:szCs w:val="20"/>
        </w:rPr>
        <w:t>使用教材：</w:t>
      </w:r>
    </w:p>
    <w:p>
      <w:pPr>
        <w:snapToGrid w:val="0"/>
        <w:spacing w:line="288" w:lineRule="auto"/>
        <w:ind w:firstLine="692" w:firstLineChars="346"/>
        <w:rPr>
          <w:szCs w:val="21"/>
        </w:rPr>
      </w:pPr>
      <w:r>
        <w:rPr>
          <w:sz w:val="20"/>
          <w:szCs w:val="20"/>
        </w:rPr>
        <w:t>教材【</w:t>
      </w:r>
      <w:r>
        <w:rPr>
          <w:rFonts w:hint="eastAsia"/>
          <w:sz w:val="20"/>
          <w:szCs w:val="20"/>
        </w:rPr>
        <w:t xml:space="preserve">概率论与数理统计第五版 浙江大学 盛骤 </w:t>
      </w:r>
      <w:r>
        <w:rPr>
          <w:sz w:val="20"/>
          <w:szCs w:val="20"/>
        </w:rPr>
        <w:t xml:space="preserve"> </w:t>
      </w:r>
      <w:r>
        <w:rPr>
          <w:rFonts w:hint="eastAsia"/>
          <w:sz w:val="20"/>
          <w:szCs w:val="20"/>
        </w:rPr>
        <w:t>谢式千</w:t>
      </w:r>
      <w:r>
        <w:rPr>
          <w:sz w:val="20"/>
          <w:szCs w:val="20"/>
        </w:rPr>
        <w:t xml:space="preserve"> </w:t>
      </w:r>
      <w:r>
        <w:rPr>
          <w:rFonts w:hint="eastAsia"/>
          <w:sz w:val="20"/>
          <w:szCs w:val="20"/>
        </w:rPr>
        <w:t xml:space="preserve">潘承毅编 </w:t>
      </w:r>
      <w:r>
        <w:rPr>
          <w:sz w:val="20"/>
          <w:szCs w:val="20"/>
        </w:rPr>
        <w:t xml:space="preserve"> </w:t>
      </w:r>
      <w:r>
        <w:rPr>
          <w:rFonts w:hint="eastAsia"/>
          <w:sz w:val="20"/>
          <w:szCs w:val="20"/>
        </w:rPr>
        <w:t>高等教育出版社</w:t>
      </w:r>
      <w:r>
        <w:rPr>
          <w:sz w:val="20"/>
          <w:szCs w:val="20"/>
        </w:rPr>
        <w:t>】</w:t>
      </w:r>
    </w:p>
    <w:p>
      <w:pPr>
        <w:snapToGrid w:val="0"/>
        <w:spacing w:line="288" w:lineRule="auto"/>
        <w:ind w:left="718"/>
        <w:rPr>
          <w:sz w:val="20"/>
          <w:szCs w:val="20"/>
        </w:rPr>
      </w:pPr>
      <w:r>
        <w:rPr>
          <w:sz w:val="20"/>
          <w:szCs w:val="20"/>
        </w:rPr>
        <w:t>参考教材【</w:t>
      </w:r>
      <w:r>
        <w:rPr>
          <w:rFonts w:hint="eastAsia"/>
          <w:sz w:val="20"/>
          <w:szCs w:val="20"/>
        </w:rPr>
        <w:t>概率论与数理统计学习辅导与习题选解 浙江大学第五版 高等教育出版社</w:t>
      </w:r>
      <w:r>
        <w:rPr>
          <w:sz w:val="20"/>
          <w:szCs w:val="20"/>
        </w:rPr>
        <w:t>】</w:t>
      </w:r>
    </w:p>
    <w:p>
      <w:pPr>
        <w:snapToGrid w:val="0"/>
        <w:spacing w:line="288" w:lineRule="auto"/>
        <w:ind w:left="718"/>
        <w:rPr>
          <w:sz w:val="20"/>
          <w:szCs w:val="20"/>
        </w:rPr>
      </w:pPr>
      <w:r>
        <w:rPr>
          <w:sz w:val="20"/>
          <w:szCs w:val="20"/>
        </w:rPr>
        <w:t>参考教材【</w:t>
      </w:r>
      <w:r>
        <w:rPr>
          <w:rFonts w:hint="eastAsia"/>
          <w:sz w:val="20"/>
          <w:szCs w:val="20"/>
        </w:rPr>
        <w:t>概率论与数理统计第四版 理工类 吴赣昌主编</w:t>
      </w:r>
      <w:r>
        <w:rPr>
          <w:sz w:val="20"/>
          <w:szCs w:val="20"/>
        </w:rPr>
        <w:t>】</w:t>
      </w:r>
    </w:p>
    <w:p>
      <w:pPr>
        <w:snapToGrid w:val="0"/>
        <w:spacing w:line="288" w:lineRule="auto"/>
        <w:ind w:left="718"/>
        <w:rPr>
          <w:sz w:val="20"/>
          <w:szCs w:val="20"/>
        </w:rPr>
      </w:pPr>
      <w:r>
        <w:rPr>
          <w:sz w:val="20"/>
          <w:szCs w:val="20"/>
        </w:rPr>
        <w:t>参考教材【</w:t>
      </w:r>
      <w:r>
        <w:rPr>
          <w:rFonts w:hint="eastAsia"/>
          <w:sz w:val="20"/>
          <w:szCs w:val="20"/>
        </w:rPr>
        <w:t>概率论与数理统计习题解答第四版 理工类 吴赣昌主编</w:t>
      </w:r>
      <w:r>
        <w:rPr>
          <w:sz w:val="20"/>
          <w:szCs w:val="20"/>
        </w:rPr>
        <w:t>】</w:t>
      </w:r>
    </w:p>
    <w:p>
      <w:pPr>
        <w:pStyle w:val="10"/>
        <w:spacing w:line="288" w:lineRule="auto"/>
        <w:ind w:firstLine="394"/>
        <w:rPr>
          <w:color w:val="auto"/>
          <w:sz w:val="20"/>
          <w:szCs w:val="20"/>
        </w:rPr>
      </w:pPr>
      <w:r>
        <w:rPr>
          <w:rFonts w:ascii="宋体" w:hAnsi="宋体" w:eastAsia="宋体" w:cs="宋体"/>
          <w:b/>
          <w:bCs/>
          <w:sz w:val="20"/>
          <w:szCs w:val="20"/>
          <w:lang w:val="zh-TW" w:eastAsia="zh-TW"/>
        </w:rPr>
        <w:t>课程网站网址：</w:t>
      </w:r>
      <w:r>
        <w:rPr>
          <w:rFonts w:hint="eastAsia" w:ascii="宋体" w:hAnsi="宋体" w:eastAsia="宋体" w:cs="宋体"/>
          <w:bCs/>
          <w:sz w:val="20"/>
          <w:szCs w:val="20"/>
          <w:lang w:val="zh-TW" w:eastAsia="zh-TW"/>
        </w:rPr>
        <w:t>见</w:t>
      </w:r>
      <w:r>
        <w:rPr>
          <w:rFonts w:hint="eastAsia" w:ascii="宋体" w:hAnsi="宋体" w:eastAsia="宋体" w:cs="宋体"/>
          <w:bCs/>
          <w:sz w:val="20"/>
          <w:szCs w:val="20"/>
          <w:lang w:val="zh-TW"/>
        </w:rPr>
        <w:t>B</w:t>
      </w:r>
      <w:r>
        <w:rPr>
          <w:rFonts w:ascii="宋体" w:hAnsi="宋体" w:eastAsia="PMingLiU" w:cs="宋体"/>
          <w:bCs/>
          <w:sz w:val="20"/>
          <w:szCs w:val="20"/>
          <w:lang w:val="zh-TW" w:eastAsia="zh-TW"/>
        </w:rPr>
        <w:t>B</w:t>
      </w:r>
      <w:r>
        <w:rPr>
          <w:rFonts w:hint="eastAsia" w:ascii="宋体" w:hAnsi="宋体" w:eastAsia="宋体" w:cs="宋体"/>
          <w:bCs/>
          <w:sz w:val="20"/>
          <w:szCs w:val="20"/>
          <w:lang w:val="zh-TW" w:eastAsia="zh-TW"/>
        </w:rPr>
        <w:t>系统</w:t>
      </w:r>
    </w:p>
    <w:p>
      <w:pPr>
        <w:adjustRightInd w:val="0"/>
        <w:snapToGrid w:val="0"/>
        <w:spacing w:line="288" w:lineRule="auto"/>
        <w:ind w:firstLine="394" w:firstLineChars="196"/>
        <w:rPr>
          <w:color w:val="000000"/>
          <w:sz w:val="20"/>
          <w:szCs w:val="20"/>
        </w:rPr>
      </w:pPr>
      <w:r>
        <w:rPr>
          <w:rFonts w:hint="eastAsia" w:hAnsi="宋体"/>
          <w:b/>
          <w:bCs/>
          <w:sz w:val="20"/>
          <w:szCs w:val="20"/>
        </w:rPr>
        <w:t>先修课程：</w:t>
      </w:r>
      <w:r>
        <w:rPr>
          <w:color w:val="000000"/>
          <w:sz w:val="20"/>
          <w:szCs w:val="20"/>
        </w:rPr>
        <w:t>【</w:t>
      </w:r>
      <w:r>
        <w:rPr>
          <w:color w:val="FF0000"/>
          <w:sz w:val="20"/>
          <w:szCs w:val="20"/>
        </w:rPr>
        <w:t>高等数学</w:t>
      </w:r>
      <w:r>
        <w:rPr>
          <w:rFonts w:hint="eastAsia"/>
          <w:color w:val="FF0000"/>
          <w:sz w:val="20"/>
          <w:szCs w:val="20"/>
        </w:rPr>
        <w:t xml:space="preserve"> 2100013</w:t>
      </w:r>
      <w:r>
        <w:rPr>
          <w:color w:val="FF0000"/>
          <w:sz w:val="20"/>
          <w:szCs w:val="20"/>
        </w:rPr>
        <w:t>（</w:t>
      </w:r>
      <w:r>
        <w:rPr>
          <w:rFonts w:hint="eastAsia"/>
          <w:color w:val="FF0000"/>
          <w:sz w:val="20"/>
          <w:szCs w:val="20"/>
        </w:rPr>
        <w:t>6</w:t>
      </w:r>
      <w:r>
        <w:rPr>
          <w:color w:val="FF0000"/>
          <w:sz w:val="20"/>
          <w:szCs w:val="20"/>
        </w:rPr>
        <w:t>）</w:t>
      </w:r>
      <w:r>
        <w:rPr>
          <w:rFonts w:hint="eastAsia"/>
          <w:color w:val="FF0000"/>
          <w:sz w:val="20"/>
          <w:szCs w:val="20"/>
        </w:rPr>
        <w:t>、2100015（5）</w:t>
      </w:r>
      <w:r>
        <w:rPr>
          <w:color w:val="000000"/>
          <w:sz w:val="20"/>
          <w:szCs w:val="20"/>
        </w:rPr>
        <w:t>】</w:t>
      </w:r>
    </w:p>
    <w:p>
      <w:pPr>
        <w:autoSpaceDN w:val="0"/>
        <w:snapToGrid w:val="0"/>
        <w:spacing w:before="156" w:beforeLines="50" w:after="156" w:afterLines="50" w:line="288" w:lineRule="auto"/>
        <w:ind w:firstLine="394" w:firstLineChars="196"/>
        <w:rPr>
          <w:rFonts w:cs="Calibri"/>
          <w:b/>
          <w:bCs/>
          <w:color w:val="000000"/>
          <w:sz w:val="24"/>
          <w:szCs w:val="20"/>
        </w:rPr>
      </w:pPr>
      <w:r>
        <w:rPr>
          <w:rFonts w:cs="Calibri"/>
          <w:b/>
          <w:bCs/>
          <w:color w:val="000000"/>
          <w:sz w:val="20"/>
          <w:szCs w:val="20"/>
        </w:rPr>
        <w:t> </w:t>
      </w:r>
      <w:r>
        <w:rPr>
          <w:rFonts w:hint="eastAsia" w:ascii="黑体" w:hAnsi="黑体" w:eastAsia="黑体"/>
          <w:sz w:val="24"/>
        </w:rPr>
        <w:t>二、课程简介</w:t>
      </w:r>
      <w:bookmarkStart w:id="3" w:name="_GoBack"/>
      <w:bookmarkEnd w:id="3"/>
    </w:p>
    <w:p>
      <w:pPr>
        <w:snapToGrid w:val="0"/>
        <w:spacing w:line="288" w:lineRule="auto"/>
        <w:ind w:firstLine="420" w:firstLineChars="200"/>
        <w:rPr>
          <w:color w:val="000000"/>
        </w:rPr>
      </w:pPr>
      <w:r>
        <w:rPr>
          <w:rFonts w:hint="eastAsia"/>
          <w:color w:val="000000"/>
        </w:rPr>
        <w:t> 《概率论与数理统计》是一门研究和探索客观世界随机现象规律的数学学科。它以随机现象为研究对象，是数学的分支学科，在金融、保险、经济与企业管理、工农业生产、医学、地质学、气象与自然灾害预报等方面都起到非常重要的作用。随着计算机科学的发展，以及功能强大的统计软件和数学软件的开发，这门学科得到了蓬勃的发展，它不仅形成了结构宏大的理论，而且在自然科学和社会科学的各个领域应用越来越广泛。因此，该课程成为经管类专业和理工类专业的必修基础课。 </w:t>
      </w:r>
    </w:p>
    <w:p>
      <w:pPr>
        <w:snapToGrid w:val="0"/>
        <w:spacing w:line="288" w:lineRule="auto"/>
        <w:ind w:firstLine="420" w:firstLineChars="200"/>
      </w:pPr>
      <w:r>
        <w:rPr>
          <w:rFonts w:hint="eastAsia"/>
          <w:color w:val="000000"/>
        </w:rPr>
        <w:t>本课程包括两部分：概率论部分和数理统计部分。概率论：是根据大量同类随机现象的统计规律，对随机现象的出现某一结果的可能性作出一种客观的科学判断，并对这种出现的可能性大小做出数量上的描述，比较这些可能性大小，研究之间的联系，从而形成一套数学理论和方法。本内容以具有不确定性的随机现象为研究对象，以探讨和研究随机现象的统计规律性为任务，主要研究随机事件及其概率，随机变量及其概率分布，随机变量的数字特征，大数定律和中心极限定理。数理统计：是应用概率的理论来研究大量随机现象的规律性，对通过科学安排一定数量的试验所得到的统计方法给出严格的理论证明，并判定各种方法应用的条件及方法、公式、结论的可靠程度的局限性，使我们能从一组样本来判定是否能以相当大的概率来保证某一判断是正确的。并可以控制发生错误的概率，通过对点估计、区间估计、假设检验等的研究，介绍怎样去有效地收集、整理和分析带有随机性的数据，并对所考察的问题做出推断或预测，直至为采取一定的决断和行动提供可靠依据和建议。</w:t>
      </w:r>
      <w:r>
        <w:rPr>
          <w:rFonts w:hint="eastAsia" w:ascii="等线" w:hAnsi="等线" w:eastAsia="等线"/>
          <w:szCs w:val="21"/>
        </w:rPr>
        <w:t>同时，本课程将思政元素融入其中，培养学生们独立思考、合作学习的习惯，诚实守信、质疑创新的素养，爱党爱国、奉献社会的信念。除了获取知识，学生还将从课程中领悟数学家们唯物辩证和思辨的自然哲学思想，提升抽象思维能力、逻辑推理能力、运用所学知识去分析和解决问题的能力。</w:t>
      </w:r>
    </w:p>
    <w:p>
      <w:pPr>
        <w:snapToGrid w:val="0"/>
        <w:spacing w:line="288" w:lineRule="auto"/>
        <w:ind w:firstLine="420" w:firstLineChars="200"/>
        <w:rPr>
          <w:color w:val="000000"/>
        </w:rPr>
      </w:pPr>
    </w:p>
    <w:p>
      <w:pPr>
        <w:widowControl/>
        <w:autoSpaceDN w:val="0"/>
        <w:spacing w:before="120" w:after="156" w:afterLines="50" w:line="288" w:lineRule="auto"/>
        <w:ind w:firstLine="480" w:firstLineChars="200"/>
        <w:jc w:val="left"/>
        <w:rPr>
          <w:rFonts w:ascii="黑体" w:hAnsi="黑体" w:eastAsia="黑体"/>
          <w:sz w:val="24"/>
        </w:rPr>
      </w:pPr>
      <w:r>
        <w:rPr>
          <w:rFonts w:hint="eastAsia" w:ascii="黑体" w:hAnsi="黑体" w:eastAsia="黑体"/>
          <w:sz w:val="24"/>
        </w:rPr>
        <w:t>三、选课建议</w:t>
      </w:r>
    </w:p>
    <w:p>
      <w:pPr>
        <w:autoSpaceDN w:val="0"/>
        <w:snapToGrid w:val="0"/>
        <w:spacing w:line="288" w:lineRule="auto"/>
        <w:ind w:firstLine="420" w:firstLineChars="200"/>
        <w:rPr>
          <w:color w:val="000000"/>
        </w:rPr>
      </w:pPr>
      <w:r>
        <w:rPr>
          <w:rFonts w:hint="eastAsia"/>
          <w:color w:val="000000"/>
        </w:rPr>
        <w:t>本课程是经管或工科类专业学生在第二学年学习的课程，要求已学过《高等数学》的内容。</w:t>
      </w:r>
    </w:p>
    <w:p>
      <w:pPr>
        <w:widowControl/>
        <w:autoSpaceDN w:val="0"/>
        <w:spacing w:before="120" w:after="156" w:afterLines="50" w:line="288" w:lineRule="auto"/>
        <w:ind w:firstLine="480" w:firstLineChars="200"/>
        <w:jc w:val="left"/>
        <w:rPr>
          <w:rFonts w:ascii="黑体" w:hAnsi="黑体" w:eastAsia="黑体"/>
          <w:sz w:val="24"/>
        </w:rPr>
      </w:pPr>
      <w:r>
        <w:rPr>
          <w:rFonts w:hint="eastAsia" w:ascii="黑体" w:hAnsi="黑体" w:eastAsia="黑体"/>
          <w:sz w:val="24"/>
        </w:rPr>
        <w:t>四、课程目标</w:t>
      </w:r>
      <w:r>
        <w:rPr>
          <w:rFonts w:ascii="黑体" w:hAnsi="黑体" w:eastAsia="黑体"/>
          <w:sz w:val="24"/>
        </w:rPr>
        <w:t>/</w:t>
      </w:r>
      <w:r>
        <w:rPr>
          <w:rFonts w:hint="eastAsia" w:ascii="黑体" w:hAnsi="黑体" w:eastAsia="黑体"/>
          <w:sz w:val="24"/>
        </w:rPr>
        <w:t>课程预期学习成果（预期学习成果要可测量</w:t>
      </w:r>
      <w:r>
        <w:rPr>
          <w:rFonts w:ascii="黑体" w:hAnsi="黑体" w:eastAsia="黑体"/>
          <w:sz w:val="24"/>
        </w:rPr>
        <w:t>/</w:t>
      </w:r>
      <w:r>
        <w:rPr>
          <w:rFonts w:hint="eastAsia" w:ascii="黑体" w:hAnsi="黑体" w:eastAsia="黑体"/>
          <w:sz w:val="24"/>
        </w:rPr>
        <w:t>能够证明）</w:t>
      </w:r>
    </w:p>
    <w:tbl>
      <w:tblPr>
        <w:tblStyle w:val="5"/>
        <w:tblpPr w:leftFromText="180" w:rightFromText="180" w:vertAnchor="text" w:horzAnchor="page" w:tblpX="2014" w:tblpY="15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5"/>
        <w:gridCol w:w="1253"/>
        <w:gridCol w:w="2469"/>
        <w:gridCol w:w="2314"/>
        <w:gridCol w:w="1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5" w:type="dxa"/>
            <w:tcBorders>
              <w:top w:val="single" w:color="auto" w:sz="4" w:space="0"/>
              <w:left w:val="single" w:color="auto" w:sz="4" w:space="0"/>
              <w:bottom w:val="single" w:color="auto" w:sz="4" w:space="0"/>
              <w:right w:val="single" w:color="auto" w:sz="4" w:space="0"/>
            </w:tcBorders>
          </w:tcPr>
          <w:p>
            <w:pPr>
              <w:autoSpaceDN w:val="0"/>
              <w:snapToGrid w:val="0"/>
              <w:spacing w:line="288" w:lineRule="auto"/>
              <w:jc w:val="center"/>
              <w:rPr>
                <w:rFonts w:cs="Calibri"/>
                <w:b/>
                <w:bCs/>
                <w:color w:val="000000"/>
                <w:sz w:val="20"/>
                <w:szCs w:val="20"/>
              </w:rPr>
            </w:pPr>
            <w:r>
              <w:rPr>
                <w:rFonts w:hint="eastAsia" w:hAnsi="宋体"/>
                <w:b/>
                <w:bCs/>
                <w:color w:val="000000"/>
                <w:sz w:val="20"/>
                <w:szCs w:val="20"/>
              </w:rPr>
              <w:t>序号</w:t>
            </w:r>
          </w:p>
        </w:tc>
        <w:tc>
          <w:tcPr>
            <w:tcW w:w="1253" w:type="dxa"/>
            <w:tcBorders>
              <w:top w:val="single" w:color="auto" w:sz="4" w:space="0"/>
              <w:left w:val="single" w:color="auto" w:sz="4" w:space="0"/>
              <w:bottom w:val="single" w:color="auto" w:sz="4" w:space="0"/>
              <w:right w:val="single" w:color="auto" w:sz="4" w:space="0"/>
            </w:tcBorders>
          </w:tcPr>
          <w:p>
            <w:pPr>
              <w:autoSpaceDN w:val="0"/>
              <w:snapToGrid w:val="0"/>
              <w:spacing w:line="288" w:lineRule="auto"/>
              <w:jc w:val="center"/>
              <w:rPr>
                <w:rFonts w:cs="Calibri"/>
                <w:b/>
                <w:bCs/>
                <w:color w:val="000000"/>
                <w:sz w:val="20"/>
                <w:szCs w:val="20"/>
              </w:rPr>
            </w:pPr>
            <w:r>
              <w:rPr>
                <w:rFonts w:hint="eastAsia" w:hAnsi="宋体"/>
                <w:b/>
                <w:bCs/>
                <w:color w:val="000000"/>
                <w:sz w:val="20"/>
                <w:szCs w:val="20"/>
              </w:rPr>
              <w:t>课程预期</w:t>
            </w:r>
          </w:p>
          <w:p>
            <w:pPr>
              <w:autoSpaceDN w:val="0"/>
              <w:snapToGrid w:val="0"/>
              <w:spacing w:line="288" w:lineRule="auto"/>
              <w:jc w:val="center"/>
              <w:rPr>
                <w:rFonts w:cs="Calibri"/>
                <w:b/>
                <w:bCs/>
                <w:color w:val="000000"/>
                <w:sz w:val="20"/>
                <w:szCs w:val="20"/>
              </w:rPr>
            </w:pPr>
            <w:r>
              <w:rPr>
                <w:rFonts w:hint="eastAsia" w:hAnsi="宋体"/>
                <w:b/>
                <w:bCs/>
                <w:color w:val="000000"/>
                <w:sz w:val="20"/>
                <w:szCs w:val="20"/>
              </w:rPr>
              <w:t>学习成果</w:t>
            </w:r>
          </w:p>
        </w:tc>
        <w:tc>
          <w:tcPr>
            <w:tcW w:w="2469"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88" w:lineRule="auto"/>
              <w:jc w:val="center"/>
              <w:rPr>
                <w:rFonts w:cs="Calibri"/>
                <w:b/>
                <w:bCs/>
                <w:color w:val="000000"/>
                <w:sz w:val="20"/>
                <w:szCs w:val="20"/>
              </w:rPr>
            </w:pPr>
            <w:r>
              <w:rPr>
                <w:rFonts w:hint="eastAsia" w:hAnsi="宋体"/>
                <w:b/>
                <w:bCs/>
                <w:color w:val="000000"/>
                <w:sz w:val="20"/>
                <w:szCs w:val="20"/>
              </w:rPr>
              <w:t>课程目标</w:t>
            </w:r>
          </w:p>
          <w:p>
            <w:pPr>
              <w:autoSpaceDN w:val="0"/>
              <w:snapToGrid w:val="0"/>
              <w:spacing w:line="288" w:lineRule="auto"/>
              <w:jc w:val="center"/>
              <w:rPr>
                <w:rFonts w:cs="Calibri"/>
                <w:b/>
                <w:bCs/>
                <w:color w:val="000000"/>
                <w:sz w:val="20"/>
                <w:szCs w:val="20"/>
              </w:rPr>
            </w:pPr>
            <w:r>
              <w:rPr>
                <w:rFonts w:hint="eastAsia" w:hAnsi="宋体"/>
                <w:b/>
                <w:bCs/>
                <w:color w:val="000000"/>
                <w:sz w:val="20"/>
                <w:szCs w:val="20"/>
              </w:rPr>
              <w:t>（细化的预期学习成果）</w:t>
            </w:r>
          </w:p>
        </w:tc>
        <w:tc>
          <w:tcPr>
            <w:tcW w:w="2314"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88" w:lineRule="auto"/>
              <w:jc w:val="center"/>
              <w:rPr>
                <w:rFonts w:cs="Calibri"/>
                <w:b/>
                <w:bCs/>
                <w:color w:val="000000"/>
                <w:sz w:val="20"/>
                <w:szCs w:val="20"/>
              </w:rPr>
            </w:pPr>
            <w:r>
              <w:rPr>
                <w:rFonts w:hint="eastAsia" w:hAnsi="宋体"/>
                <w:b/>
                <w:bCs/>
                <w:color w:val="000000"/>
                <w:sz w:val="20"/>
                <w:szCs w:val="20"/>
              </w:rPr>
              <w:t>教与学方式</w:t>
            </w:r>
          </w:p>
        </w:tc>
        <w:tc>
          <w:tcPr>
            <w:tcW w:w="1344"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88" w:lineRule="auto"/>
              <w:jc w:val="center"/>
              <w:rPr>
                <w:rFonts w:cs="Calibri"/>
                <w:b/>
                <w:bCs/>
                <w:color w:val="000000"/>
                <w:sz w:val="20"/>
                <w:szCs w:val="20"/>
              </w:rPr>
            </w:pPr>
            <w:r>
              <w:rPr>
                <w:rFonts w:hint="eastAsia" w:hAnsi="宋体"/>
                <w:b/>
                <w:bCs/>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cs="Calibri"/>
                <w:b/>
                <w:bCs/>
                <w:color w:val="000000"/>
                <w:sz w:val="20"/>
                <w:szCs w:val="20"/>
              </w:rPr>
            </w:pPr>
            <w:r>
              <w:rPr>
                <w:rFonts w:ascii="仿宋" w:hAnsi="仿宋" w:eastAsia="仿宋" w:cs="宋体"/>
                <w:color w:val="000000"/>
                <w:kern w:val="0"/>
                <w:sz w:val="24"/>
              </w:rPr>
              <w:t>1</w:t>
            </w:r>
          </w:p>
        </w:tc>
        <w:tc>
          <w:tcPr>
            <w:tcW w:w="125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color w:val="000000"/>
              </w:rPr>
            </w:pPr>
            <w:r>
              <w:rPr>
                <w:rFonts w:hint="eastAsia"/>
                <w:color w:val="000000"/>
              </w:rPr>
              <w:t>LO211</w:t>
            </w:r>
          </w:p>
        </w:tc>
        <w:tc>
          <w:tcPr>
            <w:tcW w:w="246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color w:val="000000"/>
              </w:rPr>
            </w:pPr>
            <w:r>
              <w:rPr>
                <w:rFonts w:hint="eastAsia"/>
                <w:color w:val="000000"/>
              </w:rPr>
              <w:t>能根据需要确定学习目标，并设计学习计划。</w:t>
            </w:r>
          </w:p>
        </w:tc>
        <w:tc>
          <w:tcPr>
            <w:tcW w:w="231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color w:val="000000"/>
              </w:rPr>
            </w:pPr>
            <w:r>
              <w:rPr>
                <w:rFonts w:hint="eastAsia"/>
                <w:color w:val="000000"/>
              </w:rPr>
              <w:t>课堂教学、习题课讨论、作业练习。</w:t>
            </w:r>
          </w:p>
        </w:tc>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color w:val="000000"/>
              </w:rPr>
            </w:pPr>
            <w:r>
              <w:rPr>
                <w:rFonts w:hint="eastAsia"/>
                <w:color w:val="000000"/>
              </w:rPr>
              <w:t>阶段测验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宋体"/>
                <w:color w:val="000000"/>
                <w:kern w:val="0"/>
                <w:sz w:val="24"/>
              </w:rPr>
            </w:pPr>
            <w:r>
              <w:rPr>
                <w:rFonts w:ascii="仿宋" w:hAnsi="仿宋" w:eastAsia="仿宋" w:cs="宋体"/>
                <w:color w:val="000000"/>
                <w:kern w:val="0"/>
                <w:sz w:val="24"/>
              </w:rPr>
              <w:t>2</w:t>
            </w:r>
          </w:p>
        </w:tc>
        <w:tc>
          <w:tcPr>
            <w:tcW w:w="125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color w:val="000000"/>
              </w:rPr>
            </w:pPr>
            <w:r>
              <w:rPr>
                <w:rFonts w:hint="eastAsia"/>
                <w:color w:val="000000"/>
              </w:rPr>
              <w:t>LO313</w:t>
            </w:r>
          </w:p>
        </w:tc>
        <w:tc>
          <w:tcPr>
            <w:tcW w:w="246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color w:val="000000"/>
              </w:rPr>
            </w:pPr>
            <w:r>
              <w:rPr>
                <w:rFonts w:hint="eastAsia"/>
                <w:color w:val="000000"/>
              </w:rPr>
              <w:t>能把概率统计的有关理论知识和方法运用到专业学习中，解决一些简单的实际问题。</w:t>
            </w:r>
          </w:p>
        </w:tc>
        <w:tc>
          <w:tcPr>
            <w:tcW w:w="231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color w:val="000000"/>
              </w:rPr>
            </w:pPr>
            <w:r>
              <w:rPr>
                <w:rFonts w:hint="eastAsia"/>
                <w:color w:val="000000"/>
              </w:rPr>
              <w:t>课堂教学、习题课讨论、作业练习。</w:t>
            </w:r>
          </w:p>
        </w:tc>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color w:val="000000"/>
              </w:rPr>
            </w:pPr>
            <w:r>
              <w:rPr>
                <w:rFonts w:hint="eastAsia"/>
                <w:color w:val="000000"/>
              </w:rPr>
              <w:t>阶段测验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cs="Calibri"/>
                <w:szCs w:val="21"/>
              </w:rPr>
            </w:pPr>
            <w:r>
              <w:rPr>
                <w:rFonts w:ascii="仿宋" w:hAnsi="仿宋" w:eastAsia="仿宋" w:cs="宋体"/>
                <w:color w:val="000000"/>
                <w:kern w:val="0"/>
                <w:sz w:val="24"/>
              </w:rPr>
              <w:t>3</w:t>
            </w:r>
          </w:p>
        </w:tc>
        <w:tc>
          <w:tcPr>
            <w:tcW w:w="125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color w:val="000000"/>
              </w:rPr>
            </w:pPr>
            <w:r>
              <w:rPr>
                <w:rFonts w:hint="eastAsia"/>
                <w:color w:val="000000"/>
              </w:rPr>
              <w:t>LO512</w:t>
            </w:r>
          </w:p>
        </w:tc>
        <w:tc>
          <w:tcPr>
            <w:tcW w:w="246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color w:val="000000"/>
              </w:rPr>
            </w:pPr>
            <w:r>
              <w:rPr>
                <w:rFonts w:hint="eastAsia"/>
                <w:color w:val="000000"/>
              </w:rPr>
              <w:t>培养随机问题分析与数据统计处理的能力。</w:t>
            </w:r>
          </w:p>
        </w:tc>
        <w:tc>
          <w:tcPr>
            <w:tcW w:w="231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color w:val="000000"/>
              </w:rPr>
            </w:pPr>
            <w:r>
              <w:rPr>
                <w:rFonts w:hint="eastAsia"/>
                <w:color w:val="000000"/>
              </w:rPr>
              <w:t>课堂教学、习题课讨论、作业练习。</w:t>
            </w:r>
          </w:p>
        </w:tc>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color w:val="000000"/>
              </w:rPr>
            </w:pPr>
            <w:r>
              <w:rPr>
                <w:rFonts w:hint="eastAsia"/>
                <w:color w:val="000000"/>
              </w:rPr>
              <w:t>阶段测验</w:t>
            </w:r>
          </w:p>
        </w:tc>
      </w:tr>
    </w:tbl>
    <w:p>
      <w:pPr>
        <w:autoSpaceDN w:val="0"/>
        <w:snapToGrid w:val="0"/>
        <w:spacing w:line="288" w:lineRule="auto"/>
        <w:ind w:left="420"/>
        <w:rPr>
          <w:rFonts w:ascii="黑体" w:hAnsi="黑体" w:eastAsia="黑体"/>
          <w:sz w:val="24"/>
        </w:rPr>
      </w:pPr>
      <w:r>
        <w:rPr>
          <w:rFonts w:hint="eastAsia" w:ascii="黑体" w:hAnsi="黑体" w:eastAsia="黑体"/>
          <w:sz w:val="24"/>
        </w:rPr>
        <w:t> </w:t>
      </w:r>
    </w:p>
    <w:p>
      <w:pPr>
        <w:pStyle w:val="11"/>
        <w:widowControl/>
        <w:numPr>
          <w:ilvl w:val="0"/>
          <w:numId w:val="1"/>
        </w:numPr>
        <w:autoSpaceDN w:val="0"/>
        <w:spacing w:before="120" w:after="156" w:afterLines="50" w:line="288" w:lineRule="auto"/>
        <w:ind w:firstLineChars="0"/>
        <w:jc w:val="left"/>
        <w:rPr>
          <w:rFonts w:ascii="黑体" w:hAnsi="黑体" w:eastAsia="黑体"/>
          <w:sz w:val="24"/>
        </w:rPr>
      </w:pPr>
      <w:r>
        <w:rPr>
          <w:rFonts w:hint="eastAsia" w:ascii="黑体" w:hAnsi="黑体" w:eastAsia="黑体"/>
          <w:sz w:val="24"/>
        </w:rPr>
        <w:t>课程内容</w:t>
      </w:r>
    </w:p>
    <w:p>
      <w:pPr>
        <w:snapToGrid w:val="0"/>
        <w:spacing w:before="156" w:beforeLines="50" w:after="156" w:afterLines="50" w:line="288" w:lineRule="auto"/>
        <w:ind w:firstLine="422" w:firstLineChars="200"/>
        <w:rPr>
          <w:color w:val="000000"/>
        </w:rPr>
      </w:pPr>
      <w:r>
        <w:rPr>
          <w:rFonts w:hint="eastAsia"/>
          <w:b/>
          <w:color w:val="000000"/>
        </w:rPr>
        <w:t>第一章 概率论的基本概念</w:t>
      </w:r>
    </w:p>
    <w:p>
      <w:pPr>
        <w:snapToGrid w:val="0"/>
        <w:spacing w:line="288" w:lineRule="auto"/>
        <w:ind w:firstLine="420" w:firstLineChars="200"/>
        <w:rPr>
          <w:color w:val="000000"/>
        </w:rPr>
      </w:pPr>
      <w:r>
        <w:rPr>
          <w:rFonts w:hint="eastAsia"/>
          <w:color w:val="000000"/>
        </w:rPr>
        <w:t>教学能力要求：知道样本空间的概念；理解随机事件的概念；分析事件之间的关系并会运算。知道概率的概念、概率的公理化定义；理解古典概型、几何概型并会进行计算；理解概率的公理化定义和概率的性质，运用概率的性质进行计算。理解全概率公式和贝叶斯(Bayes)公式，运用全概率公式和贝叶斯(Bayes)公式进行计算；理解事件独立性的概念，运用其性质进行计算；理解伯努利实验和二项概率的概念，运用伯努里概型和二项概率进行计算。</w:t>
      </w:r>
    </w:p>
    <w:p>
      <w:pPr>
        <w:snapToGrid w:val="0"/>
        <w:spacing w:line="288" w:lineRule="auto"/>
        <w:rPr>
          <w:color w:val="000000"/>
        </w:rPr>
      </w:pPr>
      <w:r>
        <w:rPr>
          <w:rFonts w:hint="eastAsia"/>
          <w:color w:val="000000"/>
        </w:rPr>
        <w:t>教学重点与难点：样本空间、事件关系和运算。古典概型、几何概型、概率的性质及其应用。条件概率、乘法公式、全概率公式、贝叶斯（Bayes）公式和二项概率公式。</w:t>
      </w:r>
    </w:p>
    <w:p>
      <w:pPr>
        <w:snapToGrid w:val="0"/>
        <w:spacing w:before="156" w:beforeLines="50" w:after="156" w:afterLines="50" w:line="288" w:lineRule="auto"/>
        <w:ind w:firstLine="422" w:firstLineChars="200"/>
        <w:rPr>
          <w:b/>
          <w:color w:val="000000"/>
        </w:rPr>
      </w:pPr>
      <w:r>
        <w:rPr>
          <w:rFonts w:hint="eastAsia"/>
          <w:b/>
          <w:color w:val="000000"/>
        </w:rPr>
        <w:t xml:space="preserve">第二章 随机变量及其分布 </w:t>
      </w:r>
    </w:p>
    <w:p>
      <w:pPr>
        <w:snapToGrid w:val="0"/>
        <w:spacing w:line="288" w:lineRule="auto"/>
        <w:ind w:firstLine="420" w:firstLineChars="200"/>
        <w:rPr>
          <w:color w:val="000000"/>
        </w:rPr>
      </w:pPr>
      <w:r>
        <w:rPr>
          <w:rFonts w:hint="eastAsia"/>
          <w:color w:val="000000"/>
        </w:rPr>
        <w:t>教学能力要求：理解随机变量的概念，知道随机变量、分布函数和随机事件的关系；理解离散型随机变量及其分布律的定义、性质，会求基本的离散型随机变量的分布律和分布函数，并能由分布律和分布函数求有关事件的概率；理解连续型随机变量及其概率密度函数的定义、性质，并能由已知连续型随机变量的分布密度求它的分布函数和相关事件的概率，运用分布函数求分布密度；运用0—1分布、二项分布、几何分布、泊松分布、均匀分布、正态分布和指数分布求事件的概率。会求由一维随机变量的分布导出随机变量函数的分布。</w:t>
      </w:r>
    </w:p>
    <w:p>
      <w:pPr>
        <w:snapToGrid w:val="0"/>
        <w:spacing w:line="288" w:lineRule="auto"/>
        <w:rPr>
          <w:color w:val="000000"/>
        </w:rPr>
      </w:pPr>
      <w:r>
        <w:rPr>
          <w:rFonts w:hint="eastAsia"/>
          <w:color w:val="000000"/>
        </w:rPr>
        <w:t>教学重点与难点：离散型随机变量的分布律、分布函数；连续型随机变量的分布密度和分布函数；几种常见分布中的二项分布、泊松分布、指数分布和正态分布及运用。</w:t>
      </w:r>
    </w:p>
    <w:p>
      <w:pPr>
        <w:snapToGrid w:val="0"/>
        <w:spacing w:before="156" w:beforeLines="50" w:after="156" w:afterLines="50" w:line="288" w:lineRule="auto"/>
        <w:ind w:firstLine="422" w:firstLineChars="200"/>
        <w:rPr>
          <w:b/>
          <w:color w:val="000000"/>
        </w:rPr>
      </w:pPr>
      <w:r>
        <w:rPr>
          <w:rFonts w:hint="eastAsia"/>
          <w:b/>
          <w:color w:val="000000"/>
        </w:rPr>
        <w:t>第三章 多维随机变量及其分布</w:t>
      </w:r>
    </w:p>
    <w:p>
      <w:pPr>
        <w:snapToGrid w:val="0"/>
        <w:spacing w:line="288" w:lineRule="auto"/>
        <w:ind w:firstLine="420" w:firstLineChars="200"/>
        <w:rPr>
          <w:color w:val="000000"/>
        </w:rPr>
      </w:pPr>
      <w:r>
        <w:rPr>
          <w:rFonts w:hint="eastAsia"/>
          <w:color w:val="000000"/>
        </w:rPr>
        <w:t>教学能力要求：理解二维随机变量分布函数的概念和性质；理解二维离散型随机变量的分布律、二维连续型随机变量的分布密度的概念和性质，并会求有关事件的概率；理解二维随机变量的边缘分布与联合分布的关系，运用边缘分布求分布函数和边缘密度函数；理解随机变量独立性的概念，运用随机变量的独立性进行概率计算；会求简单的二维随机变量函数的分布。</w:t>
      </w:r>
    </w:p>
    <w:p>
      <w:pPr>
        <w:snapToGrid w:val="0"/>
        <w:spacing w:line="288" w:lineRule="auto"/>
        <w:rPr>
          <w:color w:val="000000"/>
        </w:rPr>
      </w:pPr>
      <w:r>
        <w:rPr>
          <w:rFonts w:hint="eastAsia"/>
          <w:color w:val="000000"/>
        </w:rPr>
        <w:t>教学的重点与难点：二维连续型随机变量及其分布、边缘分布、随机变量的独立性。</w:t>
      </w:r>
    </w:p>
    <w:p>
      <w:pPr>
        <w:snapToGrid w:val="0"/>
        <w:spacing w:before="156" w:beforeLines="50" w:after="156" w:afterLines="50" w:line="288" w:lineRule="auto"/>
        <w:ind w:firstLine="422" w:firstLineChars="200"/>
        <w:rPr>
          <w:b/>
          <w:color w:val="000000"/>
        </w:rPr>
      </w:pPr>
      <w:r>
        <w:rPr>
          <w:rFonts w:hint="eastAsia"/>
          <w:b/>
          <w:color w:val="000000"/>
        </w:rPr>
        <w:t>第四章 随机变量的数字特征</w:t>
      </w:r>
    </w:p>
    <w:p>
      <w:pPr>
        <w:snapToGrid w:val="0"/>
        <w:spacing w:line="288" w:lineRule="auto"/>
        <w:ind w:firstLine="420" w:firstLineChars="200"/>
        <w:rPr>
          <w:color w:val="000000"/>
        </w:rPr>
      </w:pPr>
      <w:r>
        <w:rPr>
          <w:rFonts w:hint="eastAsia"/>
          <w:color w:val="000000"/>
        </w:rPr>
        <w:t>教学能力要求：理解数学期望、方差的概念，运用其性质进行计算；理解方差和标准差的概念，运用方差性质进行简单计算；知道协方差和相关系数的概念，理解协方差的性质。</w:t>
      </w:r>
    </w:p>
    <w:p>
      <w:pPr>
        <w:snapToGrid w:val="0"/>
        <w:spacing w:line="288" w:lineRule="auto"/>
        <w:rPr>
          <w:color w:val="000000"/>
        </w:rPr>
      </w:pPr>
      <w:r>
        <w:rPr>
          <w:rFonts w:hint="eastAsia"/>
          <w:color w:val="000000"/>
        </w:rPr>
        <w:t>教学的重点与难点：数学期望与方差的计算及应用。</w:t>
      </w:r>
    </w:p>
    <w:p>
      <w:pPr>
        <w:snapToGrid w:val="0"/>
        <w:spacing w:before="156" w:beforeLines="50" w:after="156" w:afterLines="50" w:line="288" w:lineRule="auto"/>
        <w:ind w:firstLine="422" w:firstLineChars="200"/>
        <w:rPr>
          <w:b/>
          <w:color w:val="000000"/>
        </w:rPr>
      </w:pPr>
      <w:r>
        <w:rPr>
          <w:rFonts w:hint="eastAsia"/>
          <w:b/>
          <w:color w:val="000000"/>
        </w:rPr>
        <w:t>第五章 大数定律及中心极限定理</w:t>
      </w:r>
    </w:p>
    <w:p>
      <w:pPr>
        <w:snapToGrid w:val="0"/>
        <w:spacing w:line="288" w:lineRule="auto"/>
        <w:ind w:firstLine="420" w:firstLineChars="200"/>
        <w:rPr>
          <w:color w:val="000000"/>
        </w:rPr>
      </w:pPr>
      <w:r>
        <w:rPr>
          <w:rFonts w:hint="eastAsia"/>
          <w:color w:val="000000"/>
        </w:rPr>
        <w:t>教学能力要求：知道大数定律及中心极限定理的条件与结论，运用德莫佛—拉普拉斯中心极限定理解决实际问题。</w:t>
      </w:r>
    </w:p>
    <w:p>
      <w:pPr>
        <w:snapToGrid w:val="0"/>
        <w:spacing w:line="288" w:lineRule="auto"/>
        <w:rPr>
          <w:color w:val="000000"/>
        </w:rPr>
      </w:pPr>
      <w:r>
        <w:rPr>
          <w:rFonts w:hint="eastAsia"/>
          <w:color w:val="000000"/>
        </w:rPr>
        <w:t>教学的重点与难点：中心极限定理的应用。</w:t>
      </w:r>
    </w:p>
    <w:p>
      <w:pPr>
        <w:snapToGrid w:val="0"/>
        <w:spacing w:before="156" w:beforeLines="50" w:after="156" w:afterLines="50" w:line="288" w:lineRule="auto"/>
        <w:ind w:firstLine="422" w:firstLineChars="200"/>
        <w:rPr>
          <w:b/>
          <w:color w:val="000000"/>
        </w:rPr>
      </w:pPr>
      <w:r>
        <w:rPr>
          <w:rFonts w:hint="eastAsia"/>
          <w:b/>
          <w:color w:val="000000"/>
        </w:rPr>
        <w:t>第六章 样本及抽样分布</w:t>
      </w:r>
    </w:p>
    <w:p>
      <w:pPr>
        <w:snapToGrid w:val="0"/>
        <w:spacing w:line="288" w:lineRule="auto"/>
        <w:ind w:firstLine="420" w:firstLineChars="200"/>
        <w:rPr>
          <w:color w:val="000000"/>
        </w:rPr>
      </w:pPr>
      <w:r>
        <w:rPr>
          <w:rFonts w:hint="eastAsia"/>
          <w:color w:val="000000"/>
        </w:rPr>
        <w:t>教学能力要求：知道统计的研究对象；知道总体和样本的概念；知道统计方法的特点；理解常用统计量的计算方法，会运用三个重要分布进行计算。</w:t>
      </w:r>
    </w:p>
    <w:p>
      <w:pPr>
        <w:snapToGrid w:val="0"/>
        <w:spacing w:line="288" w:lineRule="auto"/>
        <w:rPr>
          <w:color w:val="000000"/>
        </w:rPr>
      </w:pPr>
      <w:r>
        <w:rPr>
          <w:rFonts w:hint="eastAsia"/>
          <w:color w:val="000000"/>
        </w:rPr>
        <w:t>教学的重点与难点：统计量、抽样分布。</w:t>
      </w:r>
    </w:p>
    <w:p>
      <w:pPr>
        <w:snapToGrid w:val="0"/>
        <w:spacing w:before="156" w:beforeLines="50" w:after="156" w:afterLines="50" w:line="288" w:lineRule="auto"/>
        <w:ind w:firstLine="422" w:firstLineChars="200"/>
        <w:rPr>
          <w:b/>
          <w:color w:val="000000"/>
        </w:rPr>
      </w:pPr>
      <w:r>
        <w:rPr>
          <w:rFonts w:hint="eastAsia"/>
          <w:b/>
          <w:color w:val="000000"/>
        </w:rPr>
        <w:t xml:space="preserve">第七章 </w:t>
      </w:r>
      <w:r>
        <w:rPr>
          <w:b/>
          <w:color w:val="000000"/>
        </w:rPr>
        <w:t xml:space="preserve"> </w:t>
      </w:r>
      <w:r>
        <w:rPr>
          <w:rFonts w:hint="eastAsia"/>
          <w:b/>
          <w:color w:val="000000"/>
        </w:rPr>
        <w:t>参数估计</w:t>
      </w:r>
    </w:p>
    <w:p>
      <w:pPr>
        <w:snapToGrid w:val="0"/>
        <w:spacing w:line="288" w:lineRule="auto"/>
        <w:ind w:firstLine="420" w:firstLineChars="200"/>
        <w:rPr>
          <w:color w:val="000000"/>
        </w:rPr>
      </w:pPr>
      <w:r>
        <w:rPr>
          <w:rFonts w:hint="eastAsia"/>
          <w:color w:val="000000"/>
        </w:rPr>
        <w:t>教学能力要求：知道点估计的概念，学会点估计的两种方法：矩估计法和最大似然估计法；掌握点估计的优良性质。知道区间估计的概念，掌握正态总体均值的区间估计；掌握正态总体方差的置信区间。</w:t>
      </w:r>
    </w:p>
    <w:p>
      <w:pPr>
        <w:snapToGrid w:val="0"/>
        <w:spacing w:line="288" w:lineRule="auto"/>
        <w:rPr>
          <w:color w:val="000000"/>
        </w:rPr>
      </w:pPr>
      <w:r>
        <w:rPr>
          <w:rFonts w:hint="eastAsia"/>
          <w:color w:val="000000"/>
        </w:rPr>
        <w:t>教学的重点与难点：用矩估计法和最大似然估计法求参数的点估计。正态总体均值和方差的区间估计。</w:t>
      </w:r>
    </w:p>
    <w:p>
      <w:pPr>
        <w:snapToGrid w:val="0"/>
        <w:spacing w:line="288" w:lineRule="auto"/>
        <w:ind w:firstLine="422" w:firstLineChars="200"/>
        <w:rPr>
          <w:b/>
          <w:color w:val="000000"/>
        </w:rPr>
      </w:pPr>
      <w:r>
        <w:rPr>
          <w:rFonts w:hint="eastAsia"/>
          <w:b/>
          <w:color w:val="000000"/>
        </w:rPr>
        <w:t xml:space="preserve">第八章 </w:t>
      </w:r>
      <w:r>
        <w:rPr>
          <w:b/>
          <w:color w:val="000000"/>
        </w:rPr>
        <w:t xml:space="preserve"> </w:t>
      </w:r>
      <w:r>
        <w:rPr>
          <w:rFonts w:hint="eastAsia"/>
          <w:b/>
          <w:color w:val="000000"/>
        </w:rPr>
        <w:t>假设检验</w:t>
      </w:r>
    </w:p>
    <w:p>
      <w:pPr>
        <w:snapToGrid w:val="0"/>
        <w:spacing w:line="288" w:lineRule="auto"/>
        <w:ind w:firstLine="420" w:firstLineChars="200"/>
        <w:rPr>
          <w:color w:val="000000"/>
        </w:rPr>
      </w:pPr>
      <w:r>
        <w:rPr>
          <w:rFonts w:hint="eastAsia"/>
          <w:color w:val="000000"/>
        </w:rPr>
        <w:t>教学能力要求：知道假设检验的概念和原理；知道显著性检验；掌握正态总体均值的假设检验，掌握正态总体方差的假设检验。</w:t>
      </w:r>
    </w:p>
    <w:p>
      <w:pPr>
        <w:snapToGrid w:val="0"/>
        <w:spacing w:line="288" w:lineRule="auto"/>
        <w:rPr>
          <w:color w:val="000000"/>
        </w:rPr>
      </w:pPr>
      <w:r>
        <w:rPr>
          <w:rFonts w:hint="eastAsia"/>
          <w:color w:val="000000"/>
        </w:rPr>
        <w:t>教学的重点与难点：正态总体均值和方差的假设检验。</w:t>
      </w:r>
    </w:p>
    <w:tbl>
      <w:tblPr>
        <w:tblStyle w:val="5"/>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09" w:type="dxa"/>
            <w:tcBorders>
              <w:top w:val="single" w:color="auto" w:sz="4" w:space="0"/>
              <w:left w:val="single" w:color="auto" w:sz="4" w:space="0"/>
              <w:bottom w:val="single" w:color="auto" w:sz="4" w:space="0"/>
              <w:right w:val="single" w:color="auto" w:sz="4" w:space="0"/>
            </w:tcBorders>
          </w:tcPr>
          <w:p>
            <w:pPr>
              <w:autoSpaceDN w:val="0"/>
              <w:snapToGrid w:val="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1+X</w:t>
            </w:r>
            <w:r>
              <w:rPr>
                <w:rFonts w:hint="eastAsia" w:ascii="宋体" w:hAnsi="宋体"/>
                <w:bCs/>
                <w:color w:val="000000"/>
                <w:szCs w:val="20"/>
              </w:rPr>
              <w:t>）</w:t>
            </w:r>
          </w:p>
        </w:tc>
        <w:tc>
          <w:tcPr>
            <w:tcW w:w="5103" w:type="dxa"/>
            <w:tcBorders>
              <w:top w:val="single" w:color="auto" w:sz="4" w:space="0"/>
              <w:left w:val="single" w:color="auto" w:sz="4" w:space="0"/>
              <w:bottom w:val="single" w:color="auto" w:sz="4" w:space="0"/>
              <w:right w:val="single" w:color="auto" w:sz="4" w:space="0"/>
            </w:tcBorders>
          </w:tcPr>
          <w:p>
            <w:pPr>
              <w:autoSpaceDN w:val="0"/>
              <w:snapToGrid w:val="0"/>
              <w:jc w:val="center"/>
              <w:rPr>
                <w:rFonts w:ascii="宋体" w:hAnsi="宋体"/>
                <w:bCs/>
                <w:color w:val="000000"/>
                <w:szCs w:val="20"/>
              </w:rPr>
            </w:pPr>
            <w:r>
              <w:rPr>
                <w:rFonts w:hint="eastAsia" w:ascii="宋体" w:hAnsi="宋体"/>
                <w:bCs/>
                <w:color w:val="000000"/>
                <w:szCs w:val="20"/>
              </w:rPr>
              <w:t>评价方式</w:t>
            </w:r>
          </w:p>
        </w:tc>
        <w:tc>
          <w:tcPr>
            <w:tcW w:w="1843" w:type="dxa"/>
            <w:tcBorders>
              <w:top w:val="single" w:color="auto" w:sz="4" w:space="0"/>
              <w:left w:val="single" w:color="auto" w:sz="4" w:space="0"/>
              <w:bottom w:val="single" w:color="auto" w:sz="4" w:space="0"/>
              <w:right w:val="single" w:color="auto" w:sz="4" w:space="0"/>
            </w:tcBorders>
          </w:tcPr>
          <w:p>
            <w:pPr>
              <w:autoSpaceDN w:val="0"/>
              <w:snapToGrid w:val="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09" w:type="dxa"/>
            <w:tcBorders>
              <w:top w:val="single" w:color="auto" w:sz="4" w:space="0"/>
              <w:left w:val="single" w:color="auto" w:sz="4" w:space="0"/>
              <w:bottom w:val="single" w:color="auto" w:sz="4" w:space="0"/>
              <w:right w:val="single" w:color="auto" w:sz="4" w:space="0"/>
            </w:tcBorders>
          </w:tcPr>
          <w:p>
            <w:pPr>
              <w:autoSpaceDN w:val="0"/>
              <w:snapToGrid w:val="0"/>
              <w:jc w:val="center"/>
              <w:rPr>
                <w:rFonts w:ascii="宋体" w:hAnsi="宋体"/>
                <w:bCs/>
                <w:color w:val="000000"/>
                <w:szCs w:val="20"/>
              </w:rPr>
            </w:pPr>
            <w:r>
              <w:rPr>
                <w:rFonts w:ascii="宋体" w:hAnsi="宋体"/>
                <w:bCs/>
                <w:color w:val="000000"/>
                <w:szCs w:val="20"/>
              </w:rPr>
              <w:t>1</w:t>
            </w:r>
          </w:p>
        </w:tc>
        <w:tc>
          <w:tcPr>
            <w:tcW w:w="5103" w:type="dxa"/>
            <w:tcBorders>
              <w:top w:val="single" w:color="auto" w:sz="4" w:space="0"/>
              <w:left w:val="single" w:color="auto" w:sz="4" w:space="0"/>
              <w:bottom w:val="single" w:color="auto" w:sz="4" w:space="0"/>
              <w:right w:val="single" w:color="auto" w:sz="4" w:space="0"/>
            </w:tcBorders>
          </w:tcPr>
          <w:p>
            <w:pPr>
              <w:autoSpaceDN w:val="0"/>
              <w:snapToGrid w:val="0"/>
              <w:rPr>
                <w:rFonts w:ascii="宋体" w:hAnsi="宋体"/>
                <w:bCs/>
                <w:color w:val="000000"/>
                <w:szCs w:val="20"/>
              </w:rPr>
            </w:pPr>
            <w:r>
              <w:rPr>
                <w:rFonts w:ascii="宋体" w:hAnsi="宋体"/>
                <w:bCs/>
                <w:color w:val="000000"/>
                <w:szCs w:val="20"/>
              </w:rPr>
              <w:t xml:space="preserve">                  </w:t>
            </w:r>
            <w:r>
              <w:rPr>
                <w:rFonts w:hint="eastAsia" w:ascii="宋体" w:hAnsi="宋体"/>
                <w:bCs/>
                <w:color w:val="000000"/>
                <w:szCs w:val="20"/>
              </w:rPr>
              <w:t>期末考试（闭卷）</w:t>
            </w:r>
          </w:p>
        </w:tc>
        <w:tc>
          <w:tcPr>
            <w:tcW w:w="1843" w:type="dxa"/>
            <w:tcBorders>
              <w:top w:val="single" w:color="auto" w:sz="4" w:space="0"/>
              <w:left w:val="single" w:color="auto" w:sz="4" w:space="0"/>
              <w:bottom w:val="single" w:color="auto" w:sz="4" w:space="0"/>
              <w:right w:val="single" w:color="auto" w:sz="4" w:space="0"/>
            </w:tcBorders>
          </w:tcPr>
          <w:p>
            <w:pPr>
              <w:autoSpaceDN w:val="0"/>
              <w:snapToGrid w:val="0"/>
              <w:ind w:firstLine="630" w:firstLineChars="300"/>
              <w:rPr>
                <w:rFonts w:ascii="宋体" w:hAnsi="宋体"/>
                <w:bCs/>
                <w:color w:val="000000"/>
                <w:szCs w:val="20"/>
              </w:rPr>
            </w:pPr>
            <w:r>
              <w:rPr>
                <w:rFonts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09" w:type="dxa"/>
            <w:tcBorders>
              <w:top w:val="single" w:color="auto" w:sz="4" w:space="0"/>
              <w:left w:val="single" w:color="auto" w:sz="4" w:space="0"/>
              <w:bottom w:val="single" w:color="auto" w:sz="4" w:space="0"/>
              <w:right w:val="single" w:color="auto" w:sz="4" w:space="0"/>
            </w:tcBorders>
          </w:tcPr>
          <w:p>
            <w:pPr>
              <w:autoSpaceDN w:val="0"/>
              <w:snapToGrid w:val="0"/>
              <w:jc w:val="center"/>
              <w:rPr>
                <w:rFonts w:ascii="宋体" w:hAnsi="宋体"/>
                <w:bCs/>
                <w:color w:val="000000"/>
                <w:szCs w:val="20"/>
              </w:rPr>
            </w:pPr>
            <w:r>
              <w:rPr>
                <w:rFonts w:ascii="宋体" w:hAnsi="宋体"/>
                <w:bCs/>
                <w:color w:val="000000"/>
                <w:szCs w:val="20"/>
              </w:rPr>
              <w:t>X1</w:t>
            </w:r>
          </w:p>
        </w:tc>
        <w:tc>
          <w:tcPr>
            <w:tcW w:w="5103" w:type="dxa"/>
            <w:tcBorders>
              <w:top w:val="single" w:color="auto" w:sz="4" w:space="0"/>
              <w:left w:val="single" w:color="auto" w:sz="4" w:space="0"/>
              <w:bottom w:val="single" w:color="auto" w:sz="4" w:space="0"/>
              <w:right w:val="single" w:color="auto" w:sz="4" w:space="0"/>
            </w:tcBorders>
          </w:tcPr>
          <w:p>
            <w:pPr>
              <w:autoSpaceDN w:val="0"/>
              <w:snapToGrid w:val="0"/>
              <w:rPr>
                <w:rFonts w:ascii="宋体" w:hAnsi="宋体"/>
                <w:bCs/>
                <w:color w:val="000000"/>
                <w:szCs w:val="20"/>
              </w:rPr>
            </w:pPr>
            <w:r>
              <w:rPr>
                <w:rFonts w:ascii="宋体" w:hAnsi="宋体"/>
                <w:bCs/>
                <w:color w:val="000000"/>
                <w:szCs w:val="20"/>
              </w:rPr>
              <w:t xml:space="preserve">                  </w:t>
            </w:r>
            <w:r>
              <w:rPr>
                <w:rFonts w:hint="eastAsia" w:ascii="宋体" w:hAnsi="宋体"/>
                <w:bCs/>
                <w:color w:val="000000"/>
                <w:szCs w:val="20"/>
              </w:rPr>
              <w:t>阶段测验（闭卷）</w:t>
            </w:r>
          </w:p>
        </w:tc>
        <w:tc>
          <w:tcPr>
            <w:tcW w:w="1843" w:type="dxa"/>
            <w:tcBorders>
              <w:top w:val="single" w:color="auto" w:sz="4" w:space="0"/>
              <w:left w:val="single" w:color="auto" w:sz="4" w:space="0"/>
              <w:bottom w:val="single" w:color="auto" w:sz="4" w:space="0"/>
              <w:right w:val="single" w:color="auto" w:sz="4" w:space="0"/>
            </w:tcBorders>
          </w:tcPr>
          <w:p>
            <w:pPr>
              <w:autoSpaceDN w:val="0"/>
              <w:snapToGrid w:val="0"/>
              <w:jc w:val="center"/>
              <w:rPr>
                <w:rFonts w:ascii="宋体" w:hAnsi="宋体"/>
                <w:bCs/>
                <w:color w:val="000000"/>
                <w:szCs w:val="20"/>
              </w:rPr>
            </w:pPr>
            <w:r>
              <w:rPr>
                <w:rFonts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09" w:type="dxa"/>
            <w:tcBorders>
              <w:top w:val="single" w:color="auto" w:sz="4" w:space="0"/>
              <w:left w:val="single" w:color="auto" w:sz="4" w:space="0"/>
              <w:bottom w:val="single" w:color="auto" w:sz="4" w:space="0"/>
              <w:right w:val="single" w:color="auto" w:sz="4" w:space="0"/>
            </w:tcBorders>
          </w:tcPr>
          <w:p>
            <w:pPr>
              <w:autoSpaceDN w:val="0"/>
              <w:snapToGrid w:val="0"/>
              <w:jc w:val="center"/>
              <w:rPr>
                <w:rFonts w:ascii="宋体" w:hAnsi="宋体"/>
                <w:bCs/>
                <w:color w:val="000000"/>
                <w:szCs w:val="20"/>
              </w:rPr>
            </w:pPr>
            <w:r>
              <w:rPr>
                <w:rFonts w:ascii="宋体" w:hAnsi="宋体"/>
                <w:bCs/>
                <w:color w:val="000000"/>
                <w:szCs w:val="20"/>
              </w:rPr>
              <w:t>X2</w:t>
            </w:r>
          </w:p>
        </w:tc>
        <w:tc>
          <w:tcPr>
            <w:tcW w:w="5103" w:type="dxa"/>
            <w:tcBorders>
              <w:top w:val="single" w:color="auto" w:sz="4" w:space="0"/>
              <w:left w:val="single" w:color="auto" w:sz="4" w:space="0"/>
              <w:bottom w:val="single" w:color="auto" w:sz="4" w:space="0"/>
              <w:right w:val="single" w:color="auto" w:sz="4" w:space="0"/>
            </w:tcBorders>
          </w:tcPr>
          <w:p>
            <w:pPr>
              <w:autoSpaceDN w:val="0"/>
              <w:snapToGrid w:val="0"/>
              <w:rPr>
                <w:rFonts w:ascii="宋体" w:hAnsi="宋体"/>
                <w:bCs/>
                <w:color w:val="000000"/>
                <w:szCs w:val="20"/>
              </w:rPr>
            </w:pPr>
            <w:r>
              <w:rPr>
                <w:rFonts w:ascii="宋体" w:hAnsi="宋体"/>
                <w:bCs/>
                <w:color w:val="000000"/>
                <w:szCs w:val="20"/>
              </w:rPr>
              <w:t xml:space="preserve">                 </w:t>
            </w:r>
            <w:r>
              <w:rPr>
                <w:rFonts w:hint="eastAsia" w:ascii="宋体" w:hAnsi="宋体"/>
                <w:bCs/>
                <w:color w:val="000000"/>
                <w:szCs w:val="20"/>
              </w:rPr>
              <w:t xml:space="preserve"> 平时表现</w:t>
            </w:r>
          </w:p>
        </w:tc>
        <w:tc>
          <w:tcPr>
            <w:tcW w:w="1843" w:type="dxa"/>
            <w:tcBorders>
              <w:top w:val="single" w:color="auto" w:sz="4" w:space="0"/>
              <w:left w:val="single" w:color="auto" w:sz="4" w:space="0"/>
              <w:bottom w:val="single" w:color="auto" w:sz="4" w:space="0"/>
              <w:right w:val="single" w:color="auto" w:sz="4" w:space="0"/>
            </w:tcBorders>
          </w:tcPr>
          <w:p>
            <w:pPr>
              <w:autoSpaceDN w:val="0"/>
              <w:snapToGrid w:val="0"/>
              <w:jc w:val="center"/>
              <w:rPr>
                <w:rFonts w:ascii="宋体" w:hAnsi="宋体"/>
                <w:bCs/>
                <w:color w:val="000000"/>
                <w:szCs w:val="20"/>
              </w:rPr>
            </w:pPr>
            <w:r>
              <w:rPr>
                <w:rFonts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09" w:type="dxa"/>
            <w:tcBorders>
              <w:top w:val="single" w:color="auto" w:sz="4" w:space="0"/>
              <w:left w:val="single" w:color="auto" w:sz="4" w:space="0"/>
              <w:bottom w:val="single" w:color="auto" w:sz="4" w:space="0"/>
              <w:right w:val="single" w:color="auto" w:sz="4" w:space="0"/>
            </w:tcBorders>
          </w:tcPr>
          <w:p>
            <w:pPr>
              <w:autoSpaceDN w:val="0"/>
              <w:snapToGrid w:val="0"/>
              <w:jc w:val="center"/>
              <w:rPr>
                <w:rFonts w:ascii="宋体" w:hAnsi="宋体"/>
                <w:bCs/>
                <w:color w:val="000000"/>
                <w:szCs w:val="20"/>
              </w:rPr>
            </w:pPr>
            <w:r>
              <w:rPr>
                <w:rFonts w:ascii="宋体" w:hAnsi="宋体"/>
                <w:bCs/>
                <w:color w:val="000000"/>
                <w:szCs w:val="20"/>
              </w:rPr>
              <w:t>X3</w:t>
            </w:r>
          </w:p>
        </w:tc>
        <w:tc>
          <w:tcPr>
            <w:tcW w:w="5103" w:type="dxa"/>
            <w:tcBorders>
              <w:top w:val="single" w:color="auto" w:sz="4" w:space="0"/>
              <w:left w:val="single" w:color="auto" w:sz="4" w:space="0"/>
              <w:bottom w:val="single" w:color="auto" w:sz="4" w:space="0"/>
              <w:right w:val="single" w:color="auto" w:sz="4" w:space="0"/>
            </w:tcBorders>
          </w:tcPr>
          <w:p>
            <w:pPr>
              <w:autoSpaceDN w:val="0"/>
              <w:snapToGrid w:val="0"/>
              <w:rPr>
                <w:rFonts w:ascii="宋体" w:hAnsi="宋体"/>
                <w:bCs/>
                <w:color w:val="000000"/>
                <w:szCs w:val="20"/>
              </w:rPr>
            </w:pPr>
            <w:r>
              <w:rPr>
                <w:rFonts w:ascii="宋体" w:hAnsi="宋体"/>
                <w:bCs/>
                <w:color w:val="000000"/>
                <w:szCs w:val="20"/>
              </w:rPr>
              <w:t xml:space="preserve">                  </w:t>
            </w:r>
            <w:r>
              <w:rPr>
                <w:rFonts w:hint="eastAsia" w:ascii="宋体" w:hAnsi="宋体"/>
                <w:bCs/>
                <w:color w:val="000000"/>
                <w:szCs w:val="20"/>
              </w:rPr>
              <w:t>作业</w:t>
            </w:r>
          </w:p>
        </w:tc>
        <w:tc>
          <w:tcPr>
            <w:tcW w:w="1843" w:type="dxa"/>
            <w:tcBorders>
              <w:top w:val="single" w:color="auto" w:sz="4" w:space="0"/>
              <w:left w:val="single" w:color="auto" w:sz="4" w:space="0"/>
              <w:bottom w:val="single" w:color="auto" w:sz="4" w:space="0"/>
              <w:right w:val="single" w:color="auto" w:sz="4" w:space="0"/>
            </w:tcBorders>
          </w:tcPr>
          <w:p>
            <w:pPr>
              <w:autoSpaceDN w:val="0"/>
              <w:snapToGrid w:val="0"/>
              <w:jc w:val="center"/>
              <w:rPr>
                <w:rFonts w:ascii="宋体" w:hAnsi="宋体"/>
                <w:bCs/>
                <w:color w:val="000000"/>
                <w:szCs w:val="20"/>
              </w:rPr>
            </w:pPr>
            <w:r>
              <w:rPr>
                <w:rFonts w:ascii="宋体" w:hAnsi="宋体"/>
                <w:bCs/>
                <w:color w:val="000000"/>
                <w:szCs w:val="20"/>
              </w:rPr>
              <w:t>20%</w:t>
            </w:r>
          </w:p>
        </w:tc>
      </w:tr>
    </w:tbl>
    <w:p>
      <w:pPr>
        <w:autoSpaceDN w:val="0"/>
        <w:snapToGrid w:val="0"/>
        <w:spacing w:before="156" w:beforeLines="50" w:line="288" w:lineRule="auto"/>
        <w:ind w:firstLine="400" w:firstLineChars="200"/>
        <w:rPr>
          <w:rFonts w:ascii="黑体" w:hAnsi="黑体" w:eastAsia="黑体"/>
          <w:sz w:val="24"/>
        </w:rPr>
      </w:pPr>
      <w:r>
        <w:rPr>
          <w:rFonts w:cs="Calibri"/>
          <w:sz w:val="20"/>
          <w:szCs w:val="20"/>
        </w:rPr>
        <w:t> </w:t>
      </w:r>
      <w:r>
        <w:rPr>
          <w:rFonts w:hint="eastAsia" w:ascii="黑体" w:hAnsi="黑体" w:eastAsia="黑体"/>
          <w:sz w:val="24"/>
        </w:rPr>
        <w:t>六、评价方式与成绩</w:t>
      </w:r>
    </w:p>
    <w:p>
      <w:pPr>
        <w:autoSpaceDN w:val="0"/>
        <w:snapToGrid w:val="0"/>
        <w:spacing w:line="288" w:lineRule="auto"/>
        <w:rPr>
          <w:rFonts w:hAnsi="宋体"/>
          <w:sz w:val="28"/>
          <w:szCs w:val="28"/>
        </w:rPr>
      </w:pPr>
    </w:p>
    <w:p>
      <w:pPr>
        <w:autoSpaceDN w:val="0"/>
        <w:snapToGrid w:val="0"/>
        <w:spacing w:line="288" w:lineRule="auto"/>
        <w:rPr>
          <w:rFonts w:hAnsi="宋体"/>
          <w:sz w:val="28"/>
          <w:szCs w:val="28"/>
        </w:rPr>
      </w:pPr>
    </w:p>
    <w:p>
      <w:pPr>
        <w:autoSpaceDN w:val="0"/>
        <w:snapToGrid w:val="0"/>
        <w:spacing w:line="288" w:lineRule="auto"/>
        <w:rPr>
          <w:rFonts w:cs="Calibri"/>
          <w:szCs w:val="21"/>
        </w:rPr>
      </w:pPr>
      <w:r>
        <w:rPr>
          <w:rFonts w:hint="eastAsia" w:hAnsi="宋体"/>
          <w:sz w:val="28"/>
          <w:szCs w:val="28"/>
        </w:rPr>
        <w:t>撰写人：察可文</w:t>
      </w:r>
      <w:r>
        <w:rPr>
          <w:rFonts w:cs="Calibri"/>
          <w:sz w:val="28"/>
          <w:szCs w:val="28"/>
        </w:rPr>
        <w:t xml:space="preserve"> </w:t>
      </w:r>
      <w:r>
        <w:rPr>
          <w:rFonts w:hint="eastAsia" w:cs="Calibri"/>
          <w:sz w:val="28"/>
          <w:szCs w:val="28"/>
        </w:rPr>
        <w:t xml:space="preserve">  </w:t>
      </w:r>
      <w:r>
        <w:rPr>
          <w:rFonts w:hint="eastAsia" w:hAnsi="宋体"/>
          <w:sz w:val="28"/>
          <w:szCs w:val="28"/>
        </w:rPr>
        <w:t>系主任审核签名：袁江</w:t>
      </w:r>
      <w:r>
        <w:rPr>
          <w:rFonts w:hint="eastAsia" w:cs="Calibri"/>
          <w:sz w:val="28"/>
          <w:szCs w:val="28"/>
        </w:rPr>
        <w:t xml:space="preserve">  </w:t>
      </w:r>
      <w:r>
        <w:rPr>
          <w:rFonts w:hint="eastAsia" w:hAnsi="宋体"/>
          <w:sz w:val="28"/>
          <w:szCs w:val="28"/>
        </w:rPr>
        <w:t>审核时间：</w:t>
      </w:r>
      <w:r>
        <w:rPr>
          <w:rFonts w:cs="Calibri"/>
          <w:sz w:val="28"/>
          <w:szCs w:val="28"/>
        </w:rPr>
        <w:t>20</w:t>
      </w:r>
      <w:r>
        <w:rPr>
          <w:rFonts w:hint="eastAsia" w:cs="Calibri"/>
          <w:sz w:val="28"/>
          <w:szCs w:val="28"/>
        </w:rPr>
        <w:t>2</w:t>
      </w:r>
      <w:r>
        <w:rPr>
          <w:rFonts w:cs="Calibri"/>
          <w:sz w:val="28"/>
          <w:szCs w:val="28"/>
        </w:rPr>
        <w:t>3</w:t>
      </w:r>
      <w:r>
        <w:rPr>
          <w:rFonts w:hint="eastAsia" w:cs="Calibri"/>
          <w:sz w:val="28"/>
          <w:szCs w:val="28"/>
        </w:rPr>
        <w:t>/</w:t>
      </w:r>
      <w:r>
        <w:rPr>
          <w:rFonts w:cs="Calibri"/>
          <w:sz w:val="28"/>
          <w:szCs w:val="28"/>
        </w:rPr>
        <w:t>9</w:t>
      </w:r>
      <w:r>
        <w:rPr>
          <w:rFonts w:hint="eastAsia" w:cs="Calibri"/>
          <w:sz w:val="28"/>
          <w:szCs w:val="28"/>
        </w:rPr>
        <w:t>/</w:t>
      </w:r>
      <w:r>
        <w:rPr>
          <w:rFonts w:cs="Calibri"/>
          <w:sz w:val="28"/>
          <w:szCs w:val="28"/>
        </w:rPr>
        <w:t>1</w:t>
      </w:r>
    </w:p>
    <w:sectPr>
      <w:footerReference r:id="rId3" w:type="default"/>
      <w:pgSz w:w="11906" w:h="16838"/>
      <w:pgMar w:top="1440" w:right="1800" w:bottom="1440" w:left="1800" w:header="851"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0237390"/>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25450"/>
    <w:multiLevelType w:val="multilevel"/>
    <w:tmpl w:val="1BE25450"/>
    <w:lvl w:ilvl="0" w:tentative="0">
      <w:start w:val="5"/>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0ZDk0ZjVkMzBjMGJlNmRhNWUzOGY2NmRkYjlhZTcifQ=="/>
  </w:docVars>
  <w:rsids>
    <w:rsidRoot w:val="006013D9"/>
    <w:rsid w:val="00021E3A"/>
    <w:rsid w:val="0002720C"/>
    <w:rsid w:val="0004696F"/>
    <w:rsid w:val="00050A77"/>
    <w:rsid w:val="00053B95"/>
    <w:rsid w:val="00081B40"/>
    <w:rsid w:val="00083B74"/>
    <w:rsid w:val="000F126B"/>
    <w:rsid w:val="00177AAB"/>
    <w:rsid w:val="001C0440"/>
    <w:rsid w:val="001C1E54"/>
    <w:rsid w:val="001C4BF4"/>
    <w:rsid w:val="001D7DAE"/>
    <w:rsid w:val="001E4146"/>
    <w:rsid w:val="002209C4"/>
    <w:rsid w:val="00222070"/>
    <w:rsid w:val="00222782"/>
    <w:rsid w:val="00251B14"/>
    <w:rsid w:val="00255CA1"/>
    <w:rsid w:val="00255D9D"/>
    <w:rsid w:val="00264C34"/>
    <w:rsid w:val="00294AD2"/>
    <w:rsid w:val="002B1AEB"/>
    <w:rsid w:val="002B2033"/>
    <w:rsid w:val="002D0FA4"/>
    <w:rsid w:val="002D4962"/>
    <w:rsid w:val="00322494"/>
    <w:rsid w:val="00327AAF"/>
    <w:rsid w:val="00333D03"/>
    <w:rsid w:val="00353A64"/>
    <w:rsid w:val="003648F3"/>
    <w:rsid w:val="00387567"/>
    <w:rsid w:val="00397812"/>
    <w:rsid w:val="003B0F79"/>
    <w:rsid w:val="003B3614"/>
    <w:rsid w:val="003E199C"/>
    <w:rsid w:val="003F4233"/>
    <w:rsid w:val="00402F2D"/>
    <w:rsid w:val="004149FC"/>
    <w:rsid w:val="00423E61"/>
    <w:rsid w:val="00432750"/>
    <w:rsid w:val="00435B01"/>
    <w:rsid w:val="00485A7C"/>
    <w:rsid w:val="00490631"/>
    <w:rsid w:val="00494000"/>
    <w:rsid w:val="004F063C"/>
    <w:rsid w:val="00504430"/>
    <w:rsid w:val="005774B6"/>
    <w:rsid w:val="00596EEC"/>
    <w:rsid w:val="005D1277"/>
    <w:rsid w:val="005D2C21"/>
    <w:rsid w:val="006013D9"/>
    <w:rsid w:val="00603F16"/>
    <w:rsid w:val="006152F4"/>
    <w:rsid w:val="00647782"/>
    <w:rsid w:val="006551DC"/>
    <w:rsid w:val="006644FC"/>
    <w:rsid w:val="006828C6"/>
    <w:rsid w:val="006E5C7A"/>
    <w:rsid w:val="00701713"/>
    <w:rsid w:val="00703FF7"/>
    <w:rsid w:val="00704E77"/>
    <w:rsid w:val="00711137"/>
    <w:rsid w:val="007148F9"/>
    <w:rsid w:val="007452E6"/>
    <w:rsid w:val="00750A3C"/>
    <w:rsid w:val="007624A1"/>
    <w:rsid w:val="00787BE5"/>
    <w:rsid w:val="007F1BE9"/>
    <w:rsid w:val="00825909"/>
    <w:rsid w:val="0084459E"/>
    <w:rsid w:val="00853EC2"/>
    <w:rsid w:val="0085554B"/>
    <w:rsid w:val="008A3F8D"/>
    <w:rsid w:val="008A469D"/>
    <w:rsid w:val="008B1D13"/>
    <w:rsid w:val="008B558C"/>
    <w:rsid w:val="008D022D"/>
    <w:rsid w:val="008F49FD"/>
    <w:rsid w:val="00934ACA"/>
    <w:rsid w:val="0094428D"/>
    <w:rsid w:val="00995A17"/>
    <w:rsid w:val="009D1C74"/>
    <w:rsid w:val="009E1632"/>
    <w:rsid w:val="00A00560"/>
    <w:rsid w:val="00A13A76"/>
    <w:rsid w:val="00A80D25"/>
    <w:rsid w:val="00A87AE6"/>
    <w:rsid w:val="00A910B3"/>
    <w:rsid w:val="00A922B8"/>
    <w:rsid w:val="00AA4F2D"/>
    <w:rsid w:val="00AB21C4"/>
    <w:rsid w:val="00AB3998"/>
    <w:rsid w:val="00AF6A15"/>
    <w:rsid w:val="00B231E6"/>
    <w:rsid w:val="00B46152"/>
    <w:rsid w:val="00B854EF"/>
    <w:rsid w:val="00BB11F7"/>
    <w:rsid w:val="00BE293E"/>
    <w:rsid w:val="00BE2C33"/>
    <w:rsid w:val="00C10FE3"/>
    <w:rsid w:val="00C32FAB"/>
    <w:rsid w:val="00C54103"/>
    <w:rsid w:val="00CE737E"/>
    <w:rsid w:val="00D15DD1"/>
    <w:rsid w:val="00D174B5"/>
    <w:rsid w:val="00D32CFD"/>
    <w:rsid w:val="00D43C35"/>
    <w:rsid w:val="00DC22FC"/>
    <w:rsid w:val="00DC4B81"/>
    <w:rsid w:val="00DC735A"/>
    <w:rsid w:val="00E74DDE"/>
    <w:rsid w:val="00E81E63"/>
    <w:rsid w:val="00EC1267"/>
    <w:rsid w:val="00EC2501"/>
    <w:rsid w:val="00EE02AC"/>
    <w:rsid w:val="00EE5D8E"/>
    <w:rsid w:val="00F448D2"/>
    <w:rsid w:val="00F509F1"/>
    <w:rsid w:val="00F57C80"/>
    <w:rsid w:val="00F66AC5"/>
    <w:rsid w:val="00F677DF"/>
    <w:rsid w:val="00F97483"/>
    <w:rsid w:val="00FA43A1"/>
    <w:rsid w:val="00FB362B"/>
    <w:rsid w:val="00FC41AC"/>
    <w:rsid w:val="030135CC"/>
    <w:rsid w:val="086E34FC"/>
    <w:rsid w:val="108D5A2B"/>
    <w:rsid w:val="11505BBE"/>
    <w:rsid w:val="15422B62"/>
    <w:rsid w:val="1816168C"/>
    <w:rsid w:val="1B88054D"/>
    <w:rsid w:val="1C316312"/>
    <w:rsid w:val="1DC75A6D"/>
    <w:rsid w:val="1DFE0DCA"/>
    <w:rsid w:val="1F3957E6"/>
    <w:rsid w:val="22C27FB5"/>
    <w:rsid w:val="24BC0A6D"/>
    <w:rsid w:val="287C103A"/>
    <w:rsid w:val="29D10224"/>
    <w:rsid w:val="311B325E"/>
    <w:rsid w:val="3C5248A1"/>
    <w:rsid w:val="3D944D69"/>
    <w:rsid w:val="44A64BAC"/>
    <w:rsid w:val="459854D4"/>
    <w:rsid w:val="469C2CBF"/>
    <w:rsid w:val="470D0C68"/>
    <w:rsid w:val="4C051535"/>
    <w:rsid w:val="53E26FFC"/>
    <w:rsid w:val="552D5056"/>
    <w:rsid w:val="5BA57F9A"/>
    <w:rsid w:val="5BB00791"/>
    <w:rsid w:val="5D395B00"/>
    <w:rsid w:val="5EEF4597"/>
    <w:rsid w:val="64D502DB"/>
    <w:rsid w:val="663C0BEC"/>
    <w:rsid w:val="693C69BF"/>
    <w:rsid w:val="733221DD"/>
    <w:rsid w:val="74795DE3"/>
    <w:rsid w:val="751C64B7"/>
    <w:rsid w:val="77680C98"/>
    <w:rsid w:val="797F4829"/>
    <w:rsid w:val="7A0C3F75"/>
    <w:rsid w:val="7CE44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semiHidden/>
    <w:uiPriority w:val="0"/>
    <w:rPr>
      <w:color w:val="0000FF"/>
      <w:u w:val="single"/>
    </w:rPr>
  </w:style>
  <w:style w:type="character" w:customStyle="1" w:styleId="8">
    <w:name w:val="页脚 字符"/>
    <w:link w:val="3"/>
    <w:uiPriority w:val="99"/>
    <w:rPr>
      <w:kern w:val="2"/>
      <w:sz w:val="18"/>
      <w:szCs w:val="18"/>
    </w:rPr>
  </w:style>
  <w:style w:type="character" w:customStyle="1" w:styleId="9">
    <w:name w:val="页眉 字符"/>
    <w:link w:val="4"/>
    <w:semiHidden/>
    <w:uiPriority w:val="99"/>
    <w:rPr>
      <w:kern w:val="2"/>
      <w:sz w:val="18"/>
      <w:szCs w:val="18"/>
    </w:rPr>
  </w:style>
  <w:style w:type="paragraph" w:customStyle="1" w:styleId="10">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字符"/>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Pages>
  <Words>448</Words>
  <Characters>2557</Characters>
  <Lines>21</Lines>
  <Paragraphs>5</Paragraphs>
  <TotalTime>0</TotalTime>
  <ScaleCrop>false</ScaleCrop>
  <LinksUpToDate>false</LinksUpToDate>
  <CharactersWithSpaces>3000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2023-09-02T03:30:00Z</dcterms:created>
  <dc:creator>yang</dc:creator>
  <cp:lastModifiedBy>归去来兮</cp:lastModifiedBy>
  <cp:lastPrinted>2023-09-02T03:28:00Z</cp:lastPrinted>
  <dcterms:modified xsi:type="dcterms:W3CDTF">2023-09-19T15:00:12Z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KSORubyTemplateID">
    <vt:lpwstr>6</vt:lpwstr>
  </property>
  <property fmtid="{D5CDD505-2E9C-101B-9397-08002B2CF9AE}" pid="4" name="ICV">
    <vt:lpwstr>ED8F3135E5844508910446440CEF9C32_12</vt:lpwstr>
  </property>
</Properties>
</file>