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color w:val="auto"/>
          <w:sz w:val="28"/>
          <w:szCs w:val="30"/>
        </w:rPr>
      </w:pPr>
      <w:r>
        <w:rPr>
          <w:color w:val="auto"/>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r>
        <w:rPr>
          <w:rFonts w:hint="eastAsia"/>
          <w:b/>
          <w:color w:val="auto"/>
          <w:sz w:val="28"/>
          <w:szCs w:val="30"/>
        </w:rPr>
        <w:t>【高等数学（</w:t>
      </w:r>
      <w:r>
        <w:rPr>
          <w:b/>
          <w:color w:val="auto"/>
          <w:sz w:val="28"/>
          <w:szCs w:val="30"/>
        </w:rPr>
        <w:t>1</w:t>
      </w:r>
      <w:r>
        <w:rPr>
          <w:rFonts w:hint="eastAsia"/>
          <w:b/>
          <w:color w:val="auto"/>
          <w:sz w:val="28"/>
          <w:szCs w:val="30"/>
        </w:rPr>
        <w:t>）】</w:t>
      </w:r>
    </w:p>
    <w:p>
      <w:pPr>
        <w:shd w:val="clear" w:color="auto" w:fill="F5F5F5"/>
        <w:jc w:val="center"/>
        <w:textAlignment w:val="top"/>
        <w:rPr>
          <w:rFonts w:ascii="Arial" w:hAnsi="Arial" w:cs="Arial"/>
          <w:color w:val="auto"/>
          <w:kern w:val="0"/>
          <w:sz w:val="24"/>
          <w:szCs w:val="24"/>
          <w:shd w:val="clear" w:color="auto" w:fill="FFFFFF" w:themeFill="background1"/>
        </w:rPr>
      </w:pPr>
      <w:bookmarkStart w:id="0" w:name="a2"/>
      <w:bookmarkEnd w:id="0"/>
      <w:r>
        <w:rPr>
          <w:rFonts w:hint="eastAsia"/>
          <w:b/>
          <w:color w:val="auto"/>
          <w:sz w:val="24"/>
          <w:szCs w:val="24"/>
          <w:shd w:val="clear" w:color="auto" w:fill="FFFFFF" w:themeFill="background1"/>
        </w:rPr>
        <w:t>【</w:t>
      </w:r>
      <w:r>
        <w:rPr>
          <w:b/>
          <w:color w:val="auto"/>
          <w:sz w:val="24"/>
          <w:szCs w:val="24"/>
          <w:shd w:val="clear" w:color="auto" w:fill="FFFFFF" w:themeFill="background1"/>
        </w:rPr>
        <w:t>Advanced Calculus (PART1)</w:t>
      </w:r>
      <w:r>
        <w:rPr>
          <w:rFonts w:hint="eastAsia"/>
          <w:b/>
          <w:color w:val="auto"/>
          <w:sz w:val="24"/>
          <w:szCs w:val="24"/>
          <w:shd w:val="clear" w:color="auto" w:fill="FFFFFF" w:themeFill="background1"/>
        </w:rPr>
        <w:t xml:space="preserve">】 </w:t>
      </w:r>
    </w:p>
    <w:p>
      <w:pPr>
        <w:spacing w:before="156" w:beforeLines="50" w:after="156" w:afterLines="50" w:line="288" w:lineRule="auto"/>
        <w:ind w:firstLine="360" w:firstLineChars="150"/>
        <w:rPr>
          <w:rFonts w:ascii="黑体" w:hAnsi="宋体" w:eastAsia="黑体"/>
          <w:color w:val="auto"/>
          <w:sz w:val="24"/>
        </w:rPr>
      </w:pPr>
      <w:r>
        <w:rPr>
          <w:rFonts w:hint="eastAsia" w:ascii="黑体" w:hAnsi="宋体" w:eastAsia="黑体"/>
          <w:color w:val="auto"/>
          <w:sz w:val="24"/>
        </w:rPr>
        <w:t>一、基本信息（必填项）</w:t>
      </w:r>
    </w:p>
    <w:p>
      <w:pPr>
        <w:snapToGrid w:val="0"/>
        <w:spacing w:line="288" w:lineRule="auto"/>
        <w:ind w:firstLine="413" w:firstLineChars="196"/>
        <w:rPr>
          <w:rFonts w:asciiTheme="minorEastAsia" w:hAnsiTheme="minorEastAsia" w:eastAsiaTheme="minorEastAsia"/>
          <w:color w:val="auto"/>
          <w:szCs w:val="21"/>
        </w:rPr>
      </w:pPr>
      <w:r>
        <w:rPr>
          <w:rFonts w:hint="eastAsia" w:asciiTheme="minorEastAsia" w:hAnsiTheme="minorEastAsia" w:eastAsiaTheme="minorEastAsia"/>
          <w:b/>
          <w:bCs/>
          <w:color w:val="auto"/>
          <w:szCs w:val="21"/>
        </w:rPr>
        <w:t>课程代码：</w:t>
      </w:r>
      <w:r>
        <w:rPr>
          <w:rFonts w:hint="eastAsia" w:asciiTheme="minorEastAsia" w:hAnsiTheme="minorEastAsia" w:eastAsiaTheme="minorEastAsia"/>
          <w:color w:val="auto"/>
          <w:szCs w:val="21"/>
        </w:rPr>
        <w:t xml:space="preserve">【2130048】 </w:t>
      </w:r>
    </w:p>
    <w:p>
      <w:pPr>
        <w:snapToGrid w:val="0"/>
        <w:spacing w:line="288" w:lineRule="auto"/>
        <w:ind w:firstLine="413" w:firstLineChars="196"/>
        <w:rPr>
          <w:rFonts w:asciiTheme="minorEastAsia" w:hAnsiTheme="minorEastAsia" w:eastAsiaTheme="minorEastAsia"/>
          <w:color w:val="auto"/>
          <w:szCs w:val="21"/>
        </w:rPr>
      </w:pPr>
      <w:r>
        <w:rPr>
          <w:rFonts w:hint="eastAsia" w:asciiTheme="minorEastAsia" w:hAnsiTheme="minorEastAsia" w:eastAsiaTheme="minorEastAsia"/>
          <w:b/>
          <w:bCs/>
          <w:color w:val="auto"/>
          <w:szCs w:val="21"/>
        </w:rPr>
        <w:t>课程学分：</w:t>
      </w:r>
      <w:r>
        <w:rPr>
          <w:rFonts w:hint="eastAsia" w:asciiTheme="minorEastAsia" w:hAnsiTheme="minorEastAsia" w:eastAsiaTheme="minorEastAsia"/>
          <w:color w:val="auto"/>
          <w:szCs w:val="21"/>
        </w:rPr>
        <w:t>【5】</w:t>
      </w:r>
    </w:p>
    <w:p>
      <w:pPr>
        <w:snapToGrid w:val="0"/>
        <w:spacing w:line="288" w:lineRule="auto"/>
        <w:ind w:firstLine="413" w:firstLineChars="196"/>
        <w:rPr>
          <w:rFonts w:asciiTheme="minorEastAsia" w:hAnsiTheme="minorEastAsia" w:eastAsiaTheme="minorEastAsia"/>
          <w:color w:val="auto"/>
          <w:szCs w:val="21"/>
        </w:rPr>
      </w:pPr>
      <w:r>
        <w:rPr>
          <w:rFonts w:hint="eastAsia" w:asciiTheme="minorEastAsia" w:hAnsiTheme="minorEastAsia" w:eastAsiaTheme="minorEastAsia"/>
          <w:b/>
          <w:bCs/>
          <w:color w:val="auto"/>
          <w:szCs w:val="21"/>
        </w:rPr>
        <w:t>面向专业：</w:t>
      </w:r>
      <w:r>
        <w:rPr>
          <w:rFonts w:hint="eastAsia" w:asciiTheme="minorEastAsia" w:hAnsiTheme="minorEastAsia" w:eastAsiaTheme="minorEastAsia"/>
          <w:color w:val="auto"/>
          <w:szCs w:val="21"/>
        </w:rPr>
        <w:t>【工程管理、工商管理、电子商务</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会计学、旅游管理、国际经济与贸易、物流管理、金融工程</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FF0000"/>
          <w:szCs w:val="21"/>
          <w:lang w:eastAsia="zh-CN"/>
        </w:rPr>
        <w:t>数字经济</w:t>
      </w:r>
      <w:r>
        <w:rPr>
          <w:rFonts w:hint="eastAsia" w:asciiTheme="minorEastAsia" w:hAnsiTheme="minorEastAsia" w:eastAsiaTheme="minorEastAsia"/>
          <w:color w:val="auto"/>
          <w:szCs w:val="21"/>
        </w:rPr>
        <w:t>等】</w:t>
      </w:r>
    </w:p>
    <w:p>
      <w:pPr>
        <w:snapToGrid w:val="0"/>
        <w:spacing w:line="288" w:lineRule="auto"/>
        <w:ind w:firstLine="413" w:firstLineChars="196"/>
        <w:rPr>
          <w:rFonts w:asciiTheme="minorEastAsia" w:hAnsiTheme="minorEastAsia" w:eastAsiaTheme="minorEastAsia"/>
          <w:color w:val="auto"/>
          <w:szCs w:val="21"/>
        </w:rPr>
      </w:pPr>
      <w:r>
        <w:rPr>
          <w:rFonts w:hint="eastAsia" w:asciiTheme="minorEastAsia" w:hAnsiTheme="minorEastAsia" w:eastAsiaTheme="minorEastAsia"/>
          <w:b/>
          <w:bCs/>
          <w:color w:val="auto"/>
          <w:szCs w:val="21"/>
        </w:rPr>
        <w:t>课程性质：</w:t>
      </w:r>
      <w:r>
        <w:rPr>
          <w:rFonts w:hint="eastAsia" w:asciiTheme="minorEastAsia" w:hAnsiTheme="minorEastAsia" w:eastAsiaTheme="minorEastAsia"/>
          <w:color w:val="auto"/>
          <w:szCs w:val="21"/>
        </w:rPr>
        <w:t>【</w:t>
      </w:r>
      <w:r>
        <w:rPr>
          <w:rFonts w:hint="eastAsia" w:asciiTheme="minorEastAsia" w:hAnsiTheme="minorEastAsia" w:eastAsiaTheme="minorEastAsia"/>
          <w:color w:val="FF0000"/>
          <w:szCs w:val="21"/>
          <w:lang w:val="en-US" w:eastAsia="zh-CN"/>
        </w:rPr>
        <w:t>公共</w:t>
      </w:r>
      <w:bookmarkStart w:id="1" w:name="_GoBack"/>
      <w:bookmarkEnd w:id="1"/>
      <w:r>
        <w:rPr>
          <w:rFonts w:hint="eastAsia" w:asciiTheme="minorEastAsia" w:hAnsiTheme="minorEastAsia" w:eastAsiaTheme="minorEastAsia"/>
          <w:color w:val="FF0000"/>
          <w:szCs w:val="21"/>
          <w:lang w:val="en-US" w:eastAsia="zh-CN"/>
        </w:rPr>
        <w:t>基础</w:t>
      </w:r>
      <w:r>
        <w:rPr>
          <w:rFonts w:hint="eastAsia" w:asciiTheme="minorEastAsia" w:hAnsiTheme="minorEastAsia" w:eastAsiaTheme="minorEastAsia"/>
          <w:color w:val="FF0000"/>
          <w:szCs w:val="21"/>
        </w:rPr>
        <w:t>课</w:t>
      </w:r>
      <w:r>
        <w:rPr>
          <w:rFonts w:hint="eastAsia" w:asciiTheme="minorEastAsia" w:hAnsiTheme="minorEastAsia" w:eastAsiaTheme="minorEastAsia"/>
          <w:color w:val="auto"/>
          <w:szCs w:val="21"/>
        </w:rPr>
        <w:t>】</w:t>
      </w:r>
    </w:p>
    <w:p>
      <w:pPr>
        <w:snapToGrid w:val="0"/>
        <w:spacing w:line="288" w:lineRule="auto"/>
        <w:ind w:firstLine="413" w:firstLineChars="196"/>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开课院系：</w:t>
      </w:r>
      <w:r>
        <w:rPr>
          <w:rFonts w:hint="eastAsia" w:asciiTheme="minorEastAsia" w:hAnsiTheme="minorEastAsia" w:eastAsiaTheme="minorEastAsia"/>
          <w:color w:val="auto"/>
          <w:szCs w:val="21"/>
        </w:rPr>
        <w:t>教育学院</w:t>
      </w:r>
    </w:p>
    <w:p>
      <w:pPr>
        <w:snapToGrid w:val="0"/>
        <w:spacing w:line="288" w:lineRule="auto"/>
        <w:ind w:firstLine="413" w:firstLineChars="196"/>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使用教材：</w:t>
      </w:r>
    </w:p>
    <w:p>
      <w:pPr>
        <w:snapToGrid w:val="0"/>
        <w:spacing w:line="288" w:lineRule="auto"/>
        <w:ind w:left="1554" w:leftChars="490" w:hanging="525" w:hangingChars="250"/>
        <w:rPr>
          <w:rFonts w:asciiTheme="minorEastAsia" w:hAnsiTheme="minorEastAsia" w:eastAsiaTheme="minorEastAsia"/>
          <w:color w:val="auto"/>
          <w:szCs w:val="21"/>
        </w:rPr>
      </w:pPr>
      <w:r>
        <w:rPr>
          <w:rFonts w:hint="eastAsia" w:asciiTheme="minorEastAsia" w:hAnsiTheme="minorEastAsia" w:eastAsiaTheme="minorEastAsia"/>
          <w:color w:val="auto"/>
          <w:szCs w:val="21"/>
        </w:rPr>
        <w:t>教材【微积分（上册）（经管类·第五版）吴赣昌主编 中国人民大学出版社】</w:t>
      </w:r>
    </w:p>
    <w:p>
      <w:pPr>
        <w:snapToGrid w:val="0"/>
        <w:spacing w:line="288" w:lineRule="auto"/>
        <w:ind w:left="1680" w:leftChars="700" w:hanging="210" w:hangingChars="1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【高等数学习题集</w:t>
      </w:r>
      <w:r>
        <w:rPr>
          <w:rFonts w:hint="eastAsia" w:asciiTheme="minorEastAsia" w:hAnsiTheme="minorEastAsia" w:eastAsiaTheme="minorEastAsia"/>
          <w:color w:val="auto"/>
          <w:szCs w:val="21"/>
          <w:lang w:val="en-US" w:eastAsia="zh-CN"/>
        </w:rPr>
        <w:t>2022</w:t>
      </w:r>
      <w:r>
        <w:rPr>
          <w:rFonts w:hint="eastAsia" w:asciiTheme="minorEastAsia" w:hAnsiTheme="minorEastAsia" w:eastAsiaTheme="minorEastAsia"/>
          <w:color w:val="auto"/>
          <w:szCs w:val="21"/>
          <w:lang w:eastAsia="zh-CN"/>
        </w:rPr>
        <w:t>年8月第</w:t>
      </w:r>
      <w:r>
        <w:rPr>
          <w:rFonts w:hint="eastAsia" w:asciiTheme="minorEastAsia" w:hAnsiTheme="minorEastAsia" w:eastAsiaTheme="minorEastAsia"/>
          <w:color w:val="auto"/>
          <w:szCs w:val="21"/>
          <w:lang w:val="en-US" w:eastAsia="zh-CN"/>
        </w:rPr>
        <w:t>五</w:t>
      </w:r>
      <w:r>
        <w:rPr>
          <w:rFonts w:hint="eastAsia" w:asciiTheme="minorEastAsia" w:hAnsiTheme="minorEastAsia" w:eastAsiaTheme="minorEastAsia"/>
          <w:color w:val="auto"/>
          <w:szCs w:val="21"/>
          <w:lang w:eastAsia="zh-CN"/>
        </w:rPr>
        <w:t xml:space="preserve">版 上海建桥学院数学教研室编 </w:t>
      </w:r>
      <w:r>
        <w:rPr>
          <w:rFonts w:hint="eastAsia" w:asciiTheme="minorEastAsia" w:hAnsiTheme="minorEastAsia" w:eastAsiaTheme="minorEastAsia"/>
          <w:color w:val="auto"/>
          <w:szCs w:val="21"/>
          <w:lang w:val="en-US" w:eastAsia="zh-CN"/>
        </w:rPr>
        <w:t>北京邮电大学出版社</w:t>
      </w:r>
      <w:r>
        <w:rPr>
          <w:rFonts w:hint="eastAsia" w:asciiTheme="minorEastAsia" w:hAnsiTheme="minorEastAsia" w:eastAsiaTheme="minorEastAsia"/>
          <w:color w:val="auto"/>
          <w:szCs w:val="21"/>
          <w:lang w:eastAsia="zh-CN"/>
        </w:rPr>
        <w:t>】</w:t>
      </w:r>
    </w:p>
    <w:p>
      <w:pPr>
        <w:snapToGrid w:val="0"/>
        <w:spacing w:line="288" w:lineRule="auto"/>
        <w:ind w:left="1558" w:leftChars="342" w:hanging="840" w:hangingChars="400"/>
        <w:rPr>
          <w:rFonts w:asciiTheme="minorEastAsia" w:hAnsiTheme="minorEastAsia" w:eastAsiaTheme="minorEastAsia"/>
          <w:color w:val="auto"/>
          <w:szCs w:val="21"/>
        </w:rPr>
      </w:pPr>
      <w:r>
        <w:rPr>
          <w:rFonts w:hint="eastAsia" w:asciiTheme="minorEastAsia" w:hAnsiTheme="minorEastAsia" w:eastAsiaTheme="minorEastAsia"/>
          <w:color w:val="auto"/>
          <w:szCs w:val="21"/>
        </w:rPr>
        <w:t>参考教材 【微积分（上册）（经管类·第</w:t>
      </w:r>
      <w:r>
        <w:rPr>
          <w:rFonts w:hint="eastAsia" w:asciiTheme="minorEastAsia" w:hAnsiTheme="minorEastAsia" w:eastAsiaTheme="minorEastAsia"/>
          <w:color w:val="auto"/>
          <w:szCs w:val="21"/>
          <w:lang w:val="en-US" w:eastAsia="zh-CN"/>
        </w:rPr>
        <w:t>五</w:t>
      </w:r>
      <w:r>
        <w:rPr>
          <w:rFonts w:hint="eastAsia" w:asciiTheme="minorEastAsia" w:hAnsiTheme="minorEastAsia" w:eastAsiaTheme="minorEastAsia"/>
          <w:color w:val="auto"/>
          <w:szCs w:val="21"/>
        </w:rPr>
        <w:t>版）学习辅导与习题解答 吴赣昌主编 中国人民大学出版社】</w:t>
      </w:r>
    </w:p>
    <w:p>
      <w:pPr>
        <w:snapToGrid w:val="0"/>
        <w:spacing w:line="288" w:lineRule="auto"/>
        <w:ind w:left="1558" w:leftChars="742"/>
        <w:rPr>
          <w:rFonts w:asciiTheme="minorEastAsia" w:hAnsiTheme="minorEastAsia" w:eastAsiaTheme="minorEastAsia"/>
          <w:color w:val="auto"/>
          <w:szCs w:val="21"/>
        </w:rPr>
      </w:pPr>
      <w:r>
        <w:rPr>
          <w:rFonts w:hint="eastAsia" w:asciiTheme="minorEastAsia" w:hAnsiTheme="minorEastAsia" w:eastAsiaTheme="minorEastAsia"/>
          <w:color w:val="auto"/>
          <w:szCs w:val="21"/>
        </w:rPr>
        <w:t>【高等数学（第</w:t>
      </w:r>
      <w:r>
        <w:rPr>
          <w:rFonts w:hint="eastAsia" w:asciiTheme="minorEastAsia" w:hAnsiTheme="minorEastAsia" w:eastAsiaTheme="minorEastAsia"/>
          <w:color w:val="auto"/>
          <w:szCs w:val="21"/>
          <w:lang w:val="en-US" w:eastAsia="zh-CN"/>
        </w:rPr>
        <w:t>八</w:t>
      </w:r>
      <w:r>
        <w:rPr>
          <w:rFonts w:hint="eastAsia" w:asciiTheme="minorEastAsia" w:hAnsiTheme="minorEastAsia" w:eastAsiaTheme="minorEastAsia"/>
          <w:color w:val="auto"/>
          <w:szCs w:val="21"/>
        </w:rPr>
        <w:t>版）上册 同济大学应用数学系主编 高等教育出版社】</w:t>
      </w:r>
    </w:p>
    <w:p>
      <w:pPr>
        <w:snapToGrid w:val="0"/>
        <w:spacing w:line="288" w:lineRule="auto"/>
        <w:ind w:left="1558" w:leftChars="342" w:hanging="840" w:hangingChars="4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【高等数学习题全解指南上册 同济大学应用数学系主编 高等教育出版社】【托马斯大学微积分（美） Joel Hass, Maurice D. Weir, George B. Thomas, Jr. 李伯民译 机械工业出版社】</w:t>
      </w:r>
    </w:p>
    <w:p>
      <w:pPr>
        <w:autoSpaceDN w:val="0"/>
        <w:snapToGrid w:val="0"/>
        <w:spacing w:line="288" w:lineRule="auto"/>
        <w:ind w:firstLine="413" w:firstLineChars="196"/>
        <w:rPr>
          <w:rFonts w:asciiTheme="minorEastAsia" w:hAnsiTheme="minorEastAsia" w:eastAsiaTheme="minorEastAsia"/>
          <w:b/>
          <w:bCs/>
          <w:color w:val="auto"/>
          <w:szCs w:val="21"/>
          <w:shd w:val="clear" w:color="auto" w:fill="FFFFFF" w:themeFill="background1"/>
        </w:rPr>
      </w:pPr>
      <w:r>
        <w:rPr>
          <w:rFonts w:hint="eastAsia" w:asciiTheme="minorEastAsia" w:hAnsiTheme="minorEastAsia" w:eastAsiaTheme="minorEastAsia"/>
          <w:b/>
          <w:bCs/>
          <w:color w:val="auto"/>
          <w:szCs w:val="21"/>
          <w:shd w:val="clear" w:color="auto" w:fill="FFFFFF" w:themeFill="background1"/>
        </w:rPr>
        <w:t>课程网站网址：</w:t>
      </w:r>
      <w:r>
        <w:rPr>
          <w:rFonts w:hint="eastAsia" w:asciiTheme="minorEastAsia" w:hAnsiTheme="minorEastAsia" w:eastAsiaTheme="minorEastAsia"/>
          <w:bCs/>
          <w:color w:val="auto"/>
          <w:szCs w:val="21"/>
          <w:shd w:val="clear" w:color="auto" w:fill="FFFFFF" w:themeFill="background1"/>
        </w:rPr>
        <w:t>建设中</w:t>
      </w:r>
    </w:p>
    <w:p>
      <w:pPr>
        <w:autoSpaceDN w:val="0"/>
        <w:snapToGrid w:val="0"/>
        <w:spacing w:line="288" w:lineRule="auto"/>
        <w:ind w:firstLine="413" w:firstLineChars="196"/>
        <w:rPr>
          <w:rFonts w:asciiTheme="minorEastAsia" w:hAnsiTheme="minorEastAsia" w:eastAsiaTheme="minorEastAsia"/>
          <w:b/>
          <w:bCs/>
          <w:color w:val="auto"/>
          <w:szCs w:val="21"/>
          <w:shd w:val="clear" w:color="auto" w:fill="FFFFFF" w:themeFill="background1"/>
        </w:rPr>
      </w:pPr>
      <w:r>
        <w:rPr>
          <w:rFonts w:hint="eastAsia" w:asciiTheme="minorEastAsia" w:hAnsiTheme="minorEastAsia" w:eastAsiaTheme="minorEastAsia"/>
          <w:b/>
          <w:bCs/>
          <w:color w:val="auto"/>
          <w:szCs w:val="21"/>
          <w:shd w:val="clear" w:color="auto" w:fill="FFFFFF" w:themeFill="background1"/>
        </w:rPr>
        <w:t>先修课程：无</w:t>
      </w:r>
    </w:p>
    <w:p>
      <w:pPr>
        <w:spacing w:before="156" w:beforeLines="50" w:after="156" w:afterLines="50" w:line="288" w:lineRule="auto"/>
        <w:ind w:firstLine="360" w:firstLineChars="150"/>
        <w:rPr>
          <w:rFonts w:ascii="黑体" w:hAnsi="宋体" w:eastAsia="黑体"/>
          <w:color w:val="auto"/>
          <w:sz w:val="24"/>
        </w:rPr>
      </w:pPr>
      <w:r>
        <w:rPr>
          <w:rFonts w:hint="eastAsia" w:ascii="黑体" w:hAnsi="宋体" w:eastAsia="黑体"/>
          <w:color w:val="auto"/>
          <w:sz w:val="24"/>
        </w:rPr>
        <w:t>二、课程简介（必填项）</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高等数学课程的主要内容是微积分。微积分是数学史上继创立欧几里得几何学后第二个里程碑，微积分不仅奠定了现代数学的基础，由此开创了数学各个学科的分支飞速发展的新时代，而且它是近代促进科学技术革命，推动自然科学、工程技术以及人文科学全面进步不可或缺的工具。从1</w:t>
      </w:r>
      <w:r>
        <w:rPr>
          <w:rFonts w:asciiTheme="minorEastAsia" w:hAnsiTheme="minorEastAsia" w:eastAsiaTheme="minorEastAsia"/>
          <w:color w:val="auto"/>
          <w:szCs w:val="21"/>
        </w:rPr>
        <w:t>7世纪</w:t>
      </w:r>
      <w:r>
        <w:rPr>
          <w:rFonts w:hint="eastAsia" w:asciiTheme="minorEastAsia" w:hAnsiTheme="minorEastAsia" w:eastAsiaTheme="minorEastAsia"/>
          <w:color w:val="auto"/>
          <w:szCs w:val="21"/>
        </w:rPr>
        <w:t>6</w:t>
      </w:r>
      <w:r>
        <w:rPr>
          <w:rFonts w:asciiTheme="minorEastAsia" w:hAnsiTheme="minorEastAsia" w:eastAsiaTheme="minorEastAsia"/>
          <w:color w:val="auto"/>
          <w:szCs w:val="21"/>
        </w:rPr>
        <w:t>0年代牛顿</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莱布尼兹创立微积分起</w:t>
      </w:r>
      <w:r>
        <w:rPr>
          <w:rFonts w:hint="eastAsia" w:asciiTheme="minorEastAsia" w:hAnsiTheme="minorEastAsia" w:eastAsiaTheme="minorEastAsia"/>
          <w:color w:val="auto"/>
          <w:szCs w:val="21"/>
        </w:rPr>
        <w:t>，它</w:t>
      </w:r>
      <w:r>
        <w:rPr>
          <w:rFonts w:asciiTheme="minorEastAsia" w:hAnsiTheme="minorEastAsia" w:eastAsiaTheme="minorEastAsia"/>
          <w:color w:val="auto"/>
          <w:szCs w:val="21"/>
        </w:rPr>
        <w:t>逐步形成为一门逻辑严密</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系统完整的学科</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它不仅成为其他许多数学分支的重要基础</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而且在众多领域都获得了十分广泛的应用</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对经济管理类及许多其他专业的本科生而言</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它既是学习</w:t>
      </w:r>
      <w:r>
        <w:rPr>
          <w:rFonts w:hint="eastAsia" w:asciiTheme="minorEastAsia" w:hAnsiTheme="minorEastAsia" w:eastAsiaTheme="minorEastAsia"/>
          <w:color w:val="auto"/>
          <w:szCs w:val="21"/>
        </w:rPr>
        <w:t>线性代数、概率统计及运筹学等数学类课程的先修程，也是学习经济学、工商管理、物流管理、管理科学与工程等专业课及专业基础课的通识教育必修课。</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教材通常分上、下册。高等数学（1）对应教材上册内容。本课程主要内容为函数、极限、连续及一元函数微分和积分。通过学习，使学生获得基本概念、基本理论和基本运算技能，为学习后续课程奠定必要的数学基础。同时，本课程将思政元素融入其中，培养学生们独立思考、合作学习的习惯，诚实守信、质疑创新的素养，爱党爱国、奉献社会的信念。除了获取知识，学生还将从课程中领悟数学家们唯物辩证和思辨的自然哲学思想，提升抽象思维能力、逻辑推理能力、运用所学知识去分析和解决问题的能力。</w:t>
      </w:r>
    </w:p>
    <w:p>
      <w:pPr>
        <w:spacing w:before="156" w:beforeLines="50" w:after="156" w:afterLines="50" w:line="288" w:lineRule="auto"/>
        <w:ind w:firstLine="360" w:firstLineChars="150"/>
        <w:rPr>
          <w:rFonts w:ascii="黑体" w:hAnsi="宋体" w:eastAsia="黑体"/>
          <w:color w:val="auto"/>
          <w:sz w:val="24"/>
        </w:rPr>
      </w:pPr>
      <w:r>
        <w:rPr>
          <w:rFonts w:hint="eastAsia" w:ascii="黑体" w:hAnsi="宋体" w:eastAsia="黑体"/>
          <w:color w:val="auto"/>
          <w:sz w:val="24"/>
        </w:rPr>
        <w:t>三、选课建议（必填项）</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本课程适合经济管理类各专业学生第一学期必修。</w:t>
      </w:r>
    </w:p>
    <w:p>
      <w:pPr>
        <w:snapToGrid w:val="0"/>
        <w:spacing w:line="288" w:lineRule="auto"/>
        <w:rPr>
          <w:rFonts w:asciiTheme="minorEastAsia" w:hAnsiTheme="minorEastAsia" w:eastAsiaTheme="minorEastAsia"/>
          <w:color w:val="auto"/>
          <w:szCs w:val="21"/>
        </w:rPr>
      </w:pPr>
    </w:p>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5"/>
        <w:tblpPr w:leftFromText="180" w:rightFromText="180" w:vertAnchor="text" w:horzAnchor="page" w:tblpX="2163" w:tblpY="152"/>
        <w:tblOverlap w:val="never"/>
        <w:tblW w:w="8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442"/>
        <w:gridCol w:w="150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442"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50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45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1</w:t>
            </w:r>
          </w:p>
        </w:tc>
        <w:tc>
          <w:tcPr>
            <w:tcW w:w="3442" w:type="dxa"/>
            <w:shd w:val="clear" w:color="auto" w:fill="auto"/>
            <w:vAlign w:val="center"/>
          </w:tcPr>
          <w:p>
            <w:pPr>
              <w:snapToGrid w:val="0"/>
              <w:spacing w:line="288" w:lineRule="auto"/>
              <w:rPr>
                <w:rFonts w:hint="eastAsia" w:ascii="Calibri" w:hAnsi="Calibri" w:eastAsia="宋体" w:cs="Times New Roman"/>
                <w:bCs/>
                <w:kern w:val="2"/>
                <w:sz w:val="20"/>
                <w:szCs w:val="20"/>
                <w:lang w:val="en-US" w:eastAsia="zh-CN" w:bidi="ar-SA"/>
              </w:rPr>
            </w:pPr>
            <w:r>
              <w:rPr>
                <w:rFonts w:hint="eastAsia"/>
                <w:bCs/>
                <w:sz w:val="20"/>
                <w:szCs w:val="20"/>
              </w:rPr>
              <w:t>品德修养</w:t>
            </w:r>
            <w:r>
              <w:rPr>
                <w:rFonts w:hint="eastAsia"/>
                <w:bCs/>
                <w:sz w:val="20"/>
                <w:szCs w:val="20"/>
                <w:lang w:eastAsia="zh-CN"/>
              </w:rPr>
              <w:t>：</w:t>
            </w:r>
            <w:r>
              <w:rPr>
                <w:rFonts w:hint="eastAsia"/>
                <w:bCs/>
                <w:sz w:val="20"/>
                <w:szCs w:val="20"/>
              </w:rPr>
              <w:t>拥护党的领导，坚定理想信念，自觉涵养和积极弘扬社会主义核心价值观</w:t>
            </w:r>
            <w:r>
              <w:rPr>
                <w:rFonts w:hint="eastAsia"/>
                <w:bCs/>
                <w:sz w:val="20"/>
                <w:szCs w:val="20"/>
                <w:lang w:eastAsia="zh-CN"/>
              </w:rPr>
              <w:t>。</w:t>
            </w:r>
            <w:r>
              <w:rPr>
                <w:rFonts w:hint="eastAsia"/>
                <w:bCs/>
                <w:sz w:val="20"/>
                <w:szCs w:val="20"/>
              </w:rPr>
              <w:t>践行八字校训，积极服务他人</w:t>
            </w:r>
            <w:r>
              <w:rPr>
                <w:rFonts w:hint="eastAsia"/>
                <w:bCs/>
                <w:sz w:val="20"/>
                <w:szCs w:val="20"/>
                <w:lang w:eastAsia="zh-CN"/>
              </w:rPr>
              <w:t>。</w:t>
            </w:r>
          </w:p>
        </w:tc>
        <w:tc>
          <w:tcPr>
            <w:tcW w:w="1500" w:type="dxa"/>
            <w:shd w:val="clear" w:color="auto" w:fill="auto"/>
            <w:vAlign w:val="center"/>
          </w:tcPr>
          <w:p>
            <w:pPr>
              <w:snapToGrid w:val="0"/>
              <w:spacing w:line="288" w:lineRule="auto"/>
              <w:rPr>
                <w:rFonts w:hint="eastAsia"/>
                <w:bCs/>
                <w:sz w:val="20"/>
                <w:szCs w:val="20"/>
                <w:lang w:val="en-US" w:eastAsia="zh-CN"/>
              </w:rPr>
            </w:pPr>
            <w:r>
              <w:rPr>
                <w:rFonts w:hint="eastAsia"/>
                <w:bCs/>
                <w:sz w:val="20"/>
                <w:szCs w:val="20"/>
              </w:rPr>
              <w:t>课堂教学</w:t>
            </w:r>
          </w:p>
          <w:p>
            <w:pPr>
              <w:snapToGrid w:val="0"/>
              <w:spacing w:line="288" w:lineRule="auto"/>
              <w:jc w:val="both"/>
              <w:rPr>
                <w:rFonts w:hint="default" w:ascii="宋体" w:eastAsia="宋体"/>
                <w:color w:val="auto"/>
                <w:sz w:val="18"/>
                <w:szCs w:val="18"/>
                <w:lang w:val="en-US" w:eastAsia="zh-CN"/>
              </w:rPr>
            </w:pPr>
            <w:r>
              <w:rPr>
                <w:rFonts w:hint="eastAsia" w:ascii="宋体"/>
                <w:color w:val="auto"/>
                <w:sz w:val="18"/>
                <w:szCs w:val="18"/>
              </w:rPr>
              <w:t>课堂互动</w:t>
            </w:r>
            <w:r>
              <w:rPr>
                <w:rFonts w:hint="eastAsia" w:ascii="宋体"/>
                <w:color w:val="auto"/>
                <w:sz w:val="18"/>
                <w:szCs w:val="18"/>
                <w:lang w:eastAsia="zh-CN"/>
              </w:rPr>
              <w:t>、</w:t>
            </w:r>
            <w:r>
              <w:rPr>
                <w:rFonts w:hint="eastAsia" w:ascii="宋体"/>
                <w:color w:val="auto"/>
                <w:sz w:val="18"/>
                <w:szCs w:val="18"/>
                <w:lang w:val="en-US" w:eastAsia="zh-CN"/>
              </w:rPr>
              <w:t>交流</w:t>
            </w:r>
          </w:p>
          <w:p>
            <w:pPr>
              <w:snapToGrid w:val="0"/>
              <w:spacing w:line="288" w:lineRule="auto"/>
              <w:rPr>
                <w:rFonts w:hint="eastAsia"/>
                <w:bCs/>
                <w:sz w:val="20"/>
                <w:szCs w:val="20"/>
                <w:lang w:val="en-US" w:eastAsia="zh-CN"/>
              </w:rPr>
            </w:pPr>
            <w:r>
              <w:rPr>
                <w:rFonts w:hint="eastAsia" w:ascii="宋体"/>
                <w:color w:val="auto"/>
                <w:sz w:val="18"/>
                <w:szCs w:val="18"/>
              </w:rPr>
              <w:t>课后讨论</w:t>
            </w:r>
          </w:p>
        </w:tc>
        <w:tc>
          <w:tcPr>
            <w:tcW w:w="1455" w:type="dxa"/>
            <w:shd w:val="clear" w:color="auto" w:fill="auto"/>
            <w:vAlign w:val="center"/>
          </w:tcPr>
          <w:p>
            <w:pPr>
              <w:snapToGrid w:val="0"/>
              <w:spacing w:line="288" w:lineRule="auto"/>
              <w:rPr>
                <w:rFonts w:hint="eastAsia"/>
                <w:bCs/>
                <w:sz w:val="20"/>
                <w:szCs w:val="20"/>
              </w:rPr>
            </w:pPr>
            <w:r>
              <w:rPr>
                <w:rFonts w:hint="eastAsia"/>
                <w:bCs/>
                <w:sz w:val="20"/>
                <w:szCs w:val="20"/>
              </w:rPr>
              <w:t>平时作业</w:t>
            </w:r>
          </w:p>
          <w:p>
            <w:pPr>
              <w:snapToGrid w:val="0"/>
              <w:spacing w:line="288" w:lineRule="auto"/>
              <w:rPr>
                <w:rFonts w:hint="eastAsia"/>
                <w:bCs/>
                <w:sz w:val="20"/>
                <w:szCs w:val="20"/>
                <w:lang w:val="en-US" w:eastAsia="zh-CN"/>
              </w:rPr>
            </w:pPr>
            <w:r>
              <w:rPr>
                <w:rFonts w:hint="eastAsia" w:ascii="宋体"/>
                <w:color w:val="auto"/>
                <w:sz w:val="18"/>
                <w:szCs w:val="18"/>
              </w:rPr>
              <w:t>平时表现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lang w:val="en-US" w:eastAsia="zh-CN" w:bidi="ar-SA"/>
              </w:rPr>
              <w:t>2</w:t>
            </w:r>
          </w:p>
        </w:tc>
        <w:tc>
          <w:tcPr>
            <w:tcW w:w="1175" w:type="dxa"/>
            <w:shd w:val="clear" w:color="auto" w:fill="auto"/>
            <w:vAlign w:val="top"/>
          </w:tcPr>
          <w:p>
            <w:pPr>
              <w:snapToGrid w:val="0"/>
              <w:spacing w:line="288" w:lineRule="auto"/>
              <w:rPr>
                <w:rFonts w:hint="eastAsia" w:ascii="仿宋" w:hAnsi="仿宋" w:eastAsia="仿宋" w:cs="宋体"/>
                <w:color w:val="000000"/>
                <w:kern w:val="0"/>
                <w:sz w:val="24"/>
                <w:szCs w:val="24"/>
              </w:rPr>
            </w:pPr>
          </w:p>
          <w:p>
            <w:pPr>
              <w:snapToGrid w:val="0"/>
              <w:spacing w:line="288" w:lineRule="auto"/>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LO2</w:t>
            </w:r>
          </w:p>
        </w:tc>
        <w:tc>
          <w:tcPr>
            <w:tcW w:w="3442" w:type="dxa"/>
            <w:shd w:val="clear" w:color="auto" w:fill="auto"/>
            <w:vAlign w:val="top"/>
          </w:tcPr>
          <w:p>
            <w:pPr>
              <w:pStyle w:val="12"/>
              <w:rPr>
                <w:rFonts w:ascii="宋体" w:eastAsia="宋体" w:cs="宋体"/>
                <w:sz w:val="18"/>
                <w:szCs w:val="18"/>
              </w:rPr>
            </w:pPr>
            <w:r>
              <w:rPr>
                <w:rFonts w:hint="eastAsia" w:ascii="宋体" w:eastAsia="宋体" w:cs="宋体"/>
                <w:sz w:val="18"/>
                <w:szCs w:val="18"/>
                <w:lang w:val="en-US" w:eastAsia="zh-CN"/>
              </w:rPr>
              <w:t>专业能力：1.</w:t>
            </w:r>
            <w:r>
              <w:rPr>
                <w:rFonts w:hint="eastAsia" w:ascii="宋体" w:eastAsia="宋体" w:cs="宋体"/>
                <w:sz w:val="18"/>
                <w:szCs w:val="18"/>
              </w:rPr>
              <w:t>能应用数学知识到专业知识中，解决一些简单的实际问题。</w:t>
            </w:r>
            <w:r>
              <w:rPr>
                <w:rFonts w:ascii="宋体" w:eastAsia="宋体" w:cs="宋体"/>
                <w:sz w:val="18"/>
                <w:szCs w:val="18"/>
              </w:rPr>
              <w:t xml:space="preserve"> </w:t>
            </w:r>
          </w:p>
          <w:p>
            <w:pPr>
              <w:pStyle w:val="12"/>
              <w:rPr>
                <w:rFonts w:hint="eastAsia" w:ascii="Calibri" w:hAnsi="Calibri" w:eastAsia="宋体" w:cs="Times New Roman"/>
                <w:bCs/>
                <w:kern w:val="2"/>
                <w:sz w:val="20"/>
                <w:szCs w:val="20"/>
                <w:lang w:val="en-US" w:eastAsia="zh-CN" w:bidi="ar-SA"/>
              </w:rPr>
            </w:pPr>
            <w:r>
              <w:rPr>
                <w:rFonts w:hint="eastAsia" w:ascii="宋体" w:eastAsia="宋体" w:cs="宋体"/>
                <w:sz w:val="18"/>
                <w:szCs w:val="18"/>
                <w:lang w:val="en-US" w:eastAsia="zh-CN"/>
              </w:rPr>
              <w:t>2.</w:t>
            </w:r>
            <w:r>
              <w:rPr>
                <w:rFonts w:hint="eastAsia" w:ascii="宋体" w:eastAsia="宋体" w:cs="宋体"/>
                <w:sz w:val="18"/>
                <w:szCs w:val="18"/>
              </w:rPr>
              <w:t>培养逻辑思维，具有逻辑分析的能力</w:t>
            </w:r>
            <w:r>
              <w:rPr>
                <w:rFonts w:ascii="宋体" w:eastAsia="宋体" w:cs="宋体"/>
                <w:sz w:val="18"/>
                <w:szCs w:val="18"/>
              </w:rPr>
              <w:t xml:space="preserve"> </w:t>
            </w:r>
            <w:r>
              <w:rPr>
                <w:rFonts w:hint="eastAsia" w:ascii="宋体" w:eastAsia="宋体" w:cs="宋体"/>
                <w:sz w:val="18"/>
                <w:szCs w:val="18"/>
                <w:lang w:eastAsia="zh-CN"/>
              </w:rPr>
              <w:t>。</w:t>
            </w:r>
          </w:p>
        </w:tc>
        <w:tc>
          <w:tcPr>
            <w:tcW w:w="1500" w:type="dxa"/>
            <w:shd w:val="clear" w:color="auto" w:fill="auto"/>
            <w:vAlign w:val="top"/>
          </w:tcPr>
          <w:p>
            <w:pPr>
              <w:pStyle w:val="12"/>
              <w:rPr>
                <w:rFonts w:hint="eastAsia" w:ascii="宋体" w:eastAsia="宋体" w:cs="宋体"/>
                <w:sz w:val="18"/>
                <w:szCs w:val="18"/>
              </w:rPr>
            </w:pPr>
            <w:r>
              <w:rPr>
                <w:rFonts w:hint="eastAsia" w:ascii="宋体" w:eastAsia="宋体" w:cs="宋体"/>
                <w:sz w:val="18"/>
                <w:szCs w:val="18"/>
              </w:rPr>
              <w:t>课堂教学</w:t>
            </w:r>
          </w:p>
          <w:p>
            <w:pPr>
              <w:pStyle w:val="12"/>
              <w:rPr>
                <w:rFonts w:hint="eastAsia" w:ascii="宋体" w:eastAsia="宋体" w:cs="宋体"/>
                <w:sz w:val="18"/>
                <w:szCs w:val="18"/>
              </w:rPr>
            </w:pPr>
            <w:r>
              <w:rPr>
                <w:rFonts w:hint="eastAsia" w:ascii="宋体" w:eastAsia="宋体" w:cs="宋体"/>
                <w:sz w:val="18"/>
                <w:szCs w:val="18"/>
              </w:rPr>
              <w:t>习题课讨论</w:t>
            </w:r>
          </w:p>
          <w:p>
            <w:pPr>
              <w:pStyle w:val="12"/>
              <w:rPr>
                <w:rFonts w:hint="eastAsia" w:ascii="黑体" w:hAnsi="宋体" w:eastAsia="黑体" w:cs="Times New Roman"/>
                <w:kern w:val="2"/>
                <w:sz w:val="24"/>
                <w:szCs w:val="22"/>
                <w:lang w:val="en-US" w:eastAsia="zh-CN" w:bidi="ar-SA"/>
              </w:rPr>
            </w:pPr>
            <w:r>
              <w:rPr>
                <w:rFonts w:hint="eastAsia" w:ascii="宋体" w:eastAsia="宋体" w:cs="宋体"/>
                <w:sz w:val="18"/>
                <w:szCs w:val="18"/>
              </w:rPr>
              <w:t>作业练习</w:t>
            </w:r>
          </w:p>
        </w:tc>
        <w:tc>
          <w:tcPr>
            <w:tcW w:w="1455" w:type="dxa"/>
            <w:shd w:val="clear" w:color="auto" w:fill="auto"/>
            <w:vAlign w:val="top"/>
          </w:tcPr>
          <w:p>
            <w:pPr>
              <w:pStyle w:val="12"/>
              <w:rPr>
                <w:rFonts w:hint="eastAsia" w:ascii="宋体" w:eastAsia="宋体" w:cs="宋体"/>
                <w:sz w:val="18"/>
                <w:szCs w:val="18"/>
              </w:rPr>
            </w:pPr>
            <w:r>
              <w:rPr>
                <w:rFonts w:hint="eastAsia" w:ascii="宋体" w:eastAsia="宋体" w:cs="宋体"/>
                <w:sz w:val="18"/>
                <w:szCs w:val="18"/>
              </w:rPr>
              <w:t>课堂练习</w:t>
            </w:r>
          </w:p>
          <w:p>
            <w:pPr>
              <w:snapToGrid w:val="0"/>
              <w:spacing w:line="288" w:lineRule="auto"/>
              <w:rPr>
                <w:rFonts w:hint="eastAsia"/>
                <w:bCs/>
                <w:sz w:val="20"/>
                <w:szCs w:val="20"/>
              </w:rPr>
            </w:pPr>
            <w:r>
              <w:rPr>
                <w:rFonts w:hint="eastAsia"/>
                <w:bCs/>
                <w:sz w:val="20"/>
                <w:szCs w:val="20"/>
              </w:rPr>
              <w:t>平时作业</w:t>
            </w:r>
          </w:p>
          <w:p>
            <w:pPr>
              <w:pStyle w:val="12"/>
              <w:rPr>
                <w:rFonts w:hint="eastAsia" w:asci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top"/>
          </w:tcPr>
          <w:p>
            <w:pPr>
              <w:jc w:val="center"/>
              <w:rPr>
                <w:rFonts w:hint="eastAsia" w:ascii="仿宋" w:hAnsi="仿宋" w:eastAsia="仿宋" w:cs="宋体"/>
                <w:color w:val="000000"/>
                <w:kern w:val="0"/>
                <w:sz w:val="24"/>
                <w:szCs w:val="24"/>
                <w:lang w:val="en-US" w:eastAsia="zh-CN"/>
              </w:rPr>
            </w:pPr>
          </w:p>
          <w:p>
            <w:pPr>
              <w:jc w:val="center"/>
              <w:rPr>
                <w:rFonts w:hint="eastAsia" w:ascii="仿宋" w:hAnsi="仿宋" w:eastAsia="仿宋" w:cs="宋体"/>
                <w:color w:val="000000"/>
                <w:kern w:val="0"/>
                <w:sz w:val="24"/>
                <w:szCs w:val="24"/>
                <w:lang w:val="en-US" w:eastAsia="zh-CN"/>
              </w:rPr>
            </w:pPr>
          </w:p>
          <w:p>
            <w:pPr>
              <w:jc w:val="both"/>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w:t>
            </w:r>
          </w:p>
        </w:tc>
        <w:tc>
          <w:tcPr>
            <w:tcW w:w="1175" w:type="dxa"/>
            <w:vAlign w:val="top"/>
          </w:tcPr>
          <w:p>
            <w:pPr>
              <w:jc w:val="center"/>
              <w:rPr>
                <w:rFonts w:hint="eastAsia" w:ascii="仿宋" w:hAnsi="仿宋" w:eastAsia="仿宋" w:cs="宋体"/>
                <w:color w:val="000000"/>
                <w:kern w:val="0"/>
                <w:sz w:val="24"/>
                <w:szCs w:val="24"/>
              </w:rPr>
            </w:pPr>
          </w:p>
          <w:p>
            <w:pPr>
              <w:jc w:val="center"/>
              <w:rPr>
                <w:rFonts w:hint="eastAsia" w:ascii="仿宋" w:hAnsi="仿宋" w:eastAsia="仿宋" w:cs="宋体"/>
                <w:color w:val="000000"/>
                <w:kern w:val="0"/>
                <w:sz w:val="24"/>
                <w:szCs w:val="24"/>
              </w:rPr>
            </w:pPr>
          </w:p>
          <w:p>
            <w:pPr>
              <w:jc w:val="both"/>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4</w:t>
            </w:r>
          </w:p>
        </w:tc>
        <w:tc>
          <w:tcPr>
            <w:tcW w:w="3442" w:type="dxa"/>
            <w:vAlign w:val="center"/>
          </w:tcPr>
          <w:p>
            <w:pPr>
              <w:snapToGrid w:val="0"/>
              <w:spacing w:line="288" w:lineRule="auto"/>
              <w:rPr>
                <w:rFonts w:hint="eastAsia"/>
                <w:bCs/>
                <w:sz w:val="20"/>
                <w:szCs w:val="20"/>
                <w:lang w:val="en-US" w:eastAsia="zh-CN"/>
              </w:rPr>
            </w:pPr>
            <w:r>
              <w:rPr>
                <w:rFonts w:hint="eastAsia" w:ascii="宋体" w:cs="宋体" w:hAnsiTheme="minorHAnsi"/>
                <w:color w:val="000000"/>
                <w:kern w:val="0"/>
                <w:sz w:val="18"/>
                <w:szCs w:val="18"/>
                <w:lang w:val="en-US" w:eastAsia="zh-CN" w:bidi="ar-SA"/>
              </w:rPr>
              <w:t>自主学习：1.</w:t>
            </w:r>
            <w:r>
              <w:rPr>
                <w:rFonts w:hint="eastAsia" w:ascii="宋体" w:eastAsia="宋体" w:cs="宋体" w:hAnsiTheme="minorHAnsi"/>
                <w:color w:val="000000"/>
                <w:kern w:val="0"/>
                <w:sz w:val="18"/>
                <w:szCs w:val="18"/>
                <w:lang w:val="en-US" w:eastAsia="zh-CN" w:bidi="ar-SA"/>
              </w:rPr>
              <w:t>能根据需要确定学习目标，并设计学习计划，进行自主学</w:t>
            </w:r>
            <w:r>
              <w:rPr>
                <w:rFonts w:hint="eastAsia"/>
                <w:bCs/>
                <w:sz w:val="20"/>
                <w:szCs w:val="20"/>
                <w:lang w:val="en-US" w:eastAsia="zh-CN"/>
              </w:rPr>
              <w:t>习。</w:t>
            </w:r>
          </w:p>
          <w:p>
            <w:pPr>
              <w:snapToGrid w:val="0"/>
              <w:spacing w:line="288" w:lineRule="auto"/>
              <w:rPr>
                <w:rFonts w:hint="eastAsia" w:ascii="仿宋" w:hAnsi="仿宋" w:eastAsia="宋体" w:cs="宋体"/>
                <w:color w:val="000000"/>
                <w:kern w:val="0"/>
                <w:sz w:val="24"/>
                <w:szCs w:val="22"/>
                <w:lang w:val="en-US" w:eastAsia="zh-CN" w:bidi="ar-SA"/>
              </w:rPr>
            </w:pPr>
            <w:r>
              <w:rPr>
                <w:rFonts w:hint="eastAsia"/>
                <w:bCs/>
                <w:sz w:val="20"/>
                <w:szCs w:val="20"/>
                <w:lang w:val="en-US" w:eastAsia="zh-CN"/>
              </w:rPr>
              <w:t>2.主动地通过搜集整理信息、讨论、实践、质疑等方法来实现学习计划和通过持续改进，达到学习目标。</w:t>
            </w:r>
          </w:p>
        </w:tc>
        <w:tc>
          <w:tcPr>
            <w:tcW w:w="1500" w:type="dxa"/>
            <w:vAlign w:val="center"/>
          </w:tcPr>
          <w:p>
            <w:pPr>
              <w:snapToGrid w:val="0"/>
              <w:spacing w:line="288" w:lineRule="auto"/>
              <w:jc w:val="both"/>
              <w:rPr>
                <w:rFonts w:hint="eastAsia"/>
                <w:color w:val="000000" w:themeColor="text1"/>
                <w:sz w:val="20"/>
                <w:szCs w:val="20"/>
                <w:lang w:val="en-US" w:eastAsia="zh-CN"/>
              </w:rPr>
            </w:pPr>
            <w:r>
              <w:rPr>
                <w:rFonts w:hint="eastAsia"/>
                <w:color w:val="000000" w:themeColor="text1"/>
                <w:sz w:val="20"/>
                <w:szCs w:val="20"/>
              </w:rPr>
              <w:t>课堂</w:t>
            </w:r>
            <w:r>
              <w:rPr>
                <w:rFonts w:hint="eastAsia"/>
                <w:color w:val="000000" w:themeColor="text1"/>
                <w:sz w:val="20"/>
                <w:szCs w:val="20"/>
                <w:lang w:val="en-US" w:eastAsia="zh-CN"/>
              </w:rPr>
              <w:t>教学</w:t>
            </w:r>
          </w:p>
          <w:p>
            <w:pPr>
              <w:snapToGrid w:val="0"/>
              <w:spacing w:line="288" w:lineRule="auto"/>
              <w:jc w:val="both"/>
              <w:rPr>
                <w:rFonts w:hint="eastAsia"/>
                <w:color w:val="000000" w:themeColor="text1"/>
                <w:sz w:val="20"/>
                <w:szCs w:val="20"/>
                <w:lang w:val="en-US" w:eastAsia="zh-CN"/>
              </w:rPr>
            </w:pPr>
            <w:r>
              <w:rPr>
                <w:rFonts w:hint="eastAsia"/>
                <w:color w:val="000000" w:themeColor="text1"/>
                <w:sz w:val="20"/>
                <w:szCs w:val="20"/>
                <w:lang w:val="en-US" w:eastAsia="zh-CN"/>
              </w:rPr>
              <w:t>讨论交流</w:t>
            </w:r>
          </w:p>
          <w:p>
            <w:pPr>
              <w:snapToGrid w:val="0"/>
              <w:spacing w:line="288" w:lineRule="auto"/>
              <w:jc w:val="both"/>
              <w:rPr>
                <w:rFonts w:hint="eastAsia"/>
                <w:color w:val="000000" w:themeColor="text1"/>
                <w:sz w:val="20"/>
                <w:szCs w:val="20"/>
              </w:rPr>
            </w:pPr>
            <w:r>
              <w:rPr>
                <w:rFonts w:hint="eastAsia"/>
                <w:color w:val="000000" w:themeColor="text1"/>
                <w:sz w:val="20"/>
                <w:szCs w:val="20"/>
              </w:rPr>
              <w:t>资料阅读</w:t>
            </w:r>
          </w:p>
          <w:p>
            <w:pPr>
              <w:snapToGrid w:val="0"/>
              <w:spacing w:line="288" w:lineRule="auto"/>
              <w:jc w:val="both"/>
              <w:rPr>
                <w:rFonts w:hint="eastAsia"/>
                <w:color w:val="000000" w:themeColor="text1"/>
                <w:sz w:val="20"/>
                <w:szCs w:val="20"/>
                <w:lang w:val="en-US" w:eastAsia="zh-CN"/>
              </w:rPr>
            </w:pPr>
            <w:r>
              <w:rPr>
                <w:rFonts w:hint="eastAsia" w:ascii="宋体" w:eastAsia="宋体" w:cs="宋体"/>
                <w:sz w:val="18"/>
                <w:szCs w:val="18"/>
              </w:rPr>
              <w:t>作业练习</w:t>
            </w:r>
          </w:p>
        </w:tc>
        <w:tc>
          <w:tcPr>
            <w:tcW w:w="1455" w:type="dxa"/>
            <w:vAlign w:val="center"/>
          </w:tcPr>
          <w:p>
            <w:pPr>
              <w:snapToGrid w:val="0"/>
              <w:spacing w:line="288" w:lineRule="auto"/>
              <w:jc w:val="both"/>
              <w:rPr>
                <w:rFonts w:hint="eastAsia"/>
                <w:color w:val="000000" w:themeColor="text1"/>
                <w:sz w:val="20"/>
                <w:szCs w:val="20"/>
              </w:rPr>
            </w:pPr>
            <w:r>
              <w:rPr>
                <w:rFonts w:hint="eastAsia"/>
                <w:color w:val="000000" w:themeColor="text1"/>
                <w:sz w:val="20"/>
                <w:szCs w:val="20"/>
              </w:rPr>
              <w:t>课堂互动</w:t>
            </w:r>
          </w:p>
          <w:p>
            <w:pPr>
              <w:snapToGrid w:val="0"/>
              <w:spacing w:line="288" w:lineRule="auto"/>
              <w:jc w:val="both"/>
              <w:rPr>
                <w:rFonts w:hint="eastAsia"/>
                <w:color w:val="000000" w:themeColor="text1"/>
                <w:sz w:val="20"/>
                <w:szCs w:val="20"/>
              </w:rPr>
            </w:pPr>
            <w:r>
              <w:rPr>
                <w:rFonts w:hint="eastAsia"/>
                <w:color w:val="000000" w:themeColor="text1"/>
                <w:sz w:val="20"/>
                <w:szCs w:val="20"/>
              </w:rPr>
              <w:t>课堂笔记</w:t>
            </w:r>
          </w:p>
          <w:p>
            <w:pPr>
              <w:snapToGrid w:val="0"/>
              <w:spacing w:line="288" w:lineRule="auto"/>
              <w:rPr>
                <w:rFonts w:hint="eastAsia"/>
                <w:bCs/>
                <w:sz w:val="20"/>
                <w:szCs w:val="20"/>
              </w:rPr>
            </w:pPr>
            <w:r>
              <w:rPr>
                <w:rFonts w:hint="eastAsia"/>
                <w:bCs/>
                <w:sz w:val="20"/>
                <w:szCs w:val="20"/>
              </w:rPr>
              <w:t>平时作业</w:t>
            </w:r>
          </w:p>
          <w:p>
            <w:pPr>
              <w:snapToGrid w:val="0"/>
              <w:spacing w:line="288" w:lineRule="auto"/>
              <w:jc w:val="center"/>
              <w:rPr>
                <w:rFonts w:hint="eastAsia"/>
                <w:color w:val="000000" w:themeColor="text1"/>
                <w:sz w:val="20"/>
                <w:szCs w:val="20"/>
                <w:lang w:val="en-US" w:eastAsia="zh-CN"/>
              </w:rPr>
            </w:pPr>
          </w:p>
        </w:tc>
      </w:tr>
    </w:tbl>
    <w:p>
      <w:pPr>
        <w:snapToGrid w:val="0"/>
        <w:spacing w:line="288" w:lineRule="auto"/>
        <w:rPr>
          <w:rFonts w:asciiTheme="minorEastAsia" w:hAnsiTheme="minorEastAsia" w:eastAsiaTheme="minorEastAsia"/>
          <w:color w:val="auto"/>
          <w:szCs w:val="21"/>
        </w:rPr>
      </w:pPr>
    </w:p>
    <w:p>
      <w:pPr>
        <w:widowControl/>
        <w:spacing w:before="156" w:beforeLines="50" w:after="156" w:afterLines="50" w:line="288" w:lineRule="auto"/>
        <w:ind w:firstLine="360" w:firstLineChars="150"/>
        <w:jc w:val="left"/>
        <w:rPr>
          <w:rFonts w:asciiTheme="minorEastAsia" w:hAnsiTheme="minorEastAsia" w:eastAsiaTheme="minorEastAsia"/>
          <w:color w:val="auto"/>
          <w:szCs w:val="21"/>
        </w:rPr>
      </w:pPr>
      <w:r>
        <w:rPr>
          <w:rFonts w:hint="eastAsia" w:ascii="黑体" w:hAnsi="宋体" w:eastAsia="黑体"/>
          <w:color w:val="auto"/>
          <w:sz w:val="24"/>
        </w:rPr>
        <w:t>五、课程内容（必填项）</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第一单元 函数</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极限与连续</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教学知识点</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集合 函数的概念及表示法 函数的有界性、单调性、周期性和奇偶性 复合函数、反函数、分段函数 基本初等函数的性质及其图形 初等函数 简单应用问题的函数关系建立 数列极限与函数极限的定义及其性质 函数的左极限与右极限 无穷小和无穷大的概念及其关系 无穷小的性质及无穷小的比较 极限的四则运算 极限存在的两个准则：夹逼准则和单调有界准则 两个重要极限 函数连续的概念 函数间断点的类型 初等函数的连续性 闭区间上连续函数的性质（有界性、最大值和最小值定理、介值定理、零点定理）</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教学能力要求</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（1）理解函数的概念，知道函数的奇偶性、单调性、周期性和有界性。</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（2）理解复合函数的概念，知道反函数的概念，理解初等函数的概念。</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（3）会运用函数建立简单实际问题中的函数关系式。</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（4）理解几种常用的经济函数（需求函数、供给函数、成本函数、收入函数和利润函数等）。</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（5）理解极限的概念，知道极限的</w:t>
      </w:r>
      <w:r>
        <w:rPr>
          <w:rFonts w:hint="eastAsia" w:asciiTheme="minorEastAsia" w:hAnsiTheme="minorEastAsia" w:eastAsiaTheme="minorEastAsia"/>
          <w:color w:val="auto"/>
          <w:szCs w:val="21"/>
        </w:rPr>
        <w:object>
          <v:shape id="_x0000_i1025" o:spt="75" type="#_x0000_t75" style="height:14.5pt;width:31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rPr>
        <w:object>
          <v:shape id="_x0000_i1026" o:spt="75" type="#_x0000_t75" style="height:14.5pt;width:28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asciiTheme="minorEastAsia" w:hAnsiTheme="minorEastAsia" w:eastAsiaTheme="minorEastAsia"/>
          <w:color w:val="auto"/>
          <w:szCs w:val="21"/>
        </w:rPr>
        <w:t>定义（简介，不要求学生做给出</w:t>
      </w:r>
      <w:r>
        <w:rPr>
          <w:rFonts w:hint="eastAsia" w:asciiTheme="minorEastAsia" w:hAnsiTheme="minorEastAsia" w:eastAsiaTheme="minorEastAsia"/>
          <w:color w:val="auto"/>
          <w:szCs w:val="21"/>
        </w:rPr>
        <w:object>
          <v:shape id="_x0000_i1027" o:spt="75" type="#_x0000_t75" style="height:11.5pt;width:10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hint="eastAsia" w:asciiTheme="minorEastAsia" w:hAnsiTheme="minorEastAsia" w:eastAsiaTheme="minorEastAsia"/>
          <w:color w:val="auto"/>
          <w:szCs w:val="21"/>
        </w:rPr>
        <w:t>求</w:t>
      </w:r>
      <w:r>
        <w:rPr>
          <w:rFonts w:hint="eastAsia" w:asciiTheme="minorEastAsia" w:hAnsiTheme="minorEastAsia" w:eastAsiaTheme="minorEastAsia"/>
          <w:color w:val="auto"/>
          <w:szCs w:val="21"/>
        </w:rPr>
        <w:object>
          <v:shape id="_x0000_i1028" o:spt="75" type="#_x0000_t75" style="height:14.5pt;width:14.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asciiTheme="minorEastAsia" w:hAnsiTheme="minorEastAsia" w:eastAsiaTheme="minorEastAsia"/>
          <w:color w:val="auto"/>
          <w:szCs w:val="21"/>
        </w:rPr>
        <w:t>或</w:t>
      </w:r>
      <w:r>
        <w:rPr>
          <w:rFonts w:hint="eastAsia" w:asciiTheme="minorEastAsia" w:hAnsiTheme="minorEastAsia" w:eastAsiaTheme="minorEastAsia"/>
          <w:color w:val="auto"/>
          <w:szCs w:val="21"/>
        </w:rPr>
        <w:object>
          <v:shape id="_x0000_i1029" o:spt="75" type="#_x0000_t75" style="height:14.5pt;width:11.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hint="eastAsia" w:asciiTheme="minorEastAsia" w:hAnsiTheme="minorEastAsia" w:eastAsiaTheme="minorEastAsia"/>
          <w:color w:val="auto"/>
          <w:szCs w:val="21"/>
        </w:rPr>
        <w:t>的习题）。</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（6）会运用函数极限的四则运算法则计算函数的极限，会运用换元法则求某些简单复合函数的极限。</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（7）理解极限存在的夹逼准则，知道单调有界准则，会运用两个重要极限求极限。</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（8）知道无穷小、无穷大以及无穷小的阶的概念。会运用等价无穷小求极限。</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（9）理解函数在一点连续和在一个区间上连续的概念，知道函数间断点的概念，并会判别间断点的类型。</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（10）知道初等函数的连续性和闭区间上连续函数的有界性与最大（小）值定理、零点定理和介值定理）。</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难点：应用夹逼准则求极限，判别间断点的类型  应用零点定理和介值定理证明方程根的存在 </w:t>
      </w:r>
    </w:p>
    <w:p>
      <w:pPr>
        <w:snapToGrid w:val="0"/>
        <w:spacing w:line="288" w:lineRule="auto"/>
        <w:ind w:firstLine="420" w:firstLineChars="200"/>
        <w:rPr>
          <w:rFonts w:asciiTheme="minorEastAsia" w:hAnsiTheme="minorEastAsia" w:eastAsiaTheme="minorEastAsia"/>
          <w:color w:val="auto"/>
          <w:szCs w:val="21"/>
        </w:rPr>
      </w:pP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第二单元 导数与微分</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教学知识点</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导数与微分的概念 导数的几何意义和经济意义 函数的可导性与连续性之间的关系 基本初等函数的导数 导数的经济应用 导数与微分的四则运算 复合函数、反函数、隐函数以及参数方程所确定的函数的微分法 高阶导数的概念 某些简单函数的n阶导数 一阶微分形式的不变性</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教学能力要求</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（1）理解导数的概念及其几何意义（不要求学生做利用导数的定义研究抽象函数可导性的习题），知道函数的可导性与连续性之间的关系。</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 会运用导数四则运算法则和复合函数求导法则求出函数的导数，会运用基本初等函数的导数公式，知道反函数求导法则。</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（3）会运用导数进行边际分析。</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（4）知道高阶导数的概念，会运用初等函数一阶、二阶导数的求法求导。知道分段函数的导数和一些简单函数的n阶导数的一般表达式。</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（5）会运用隐函数和参数方程求导公式求出隐函数和参数方程所确定的函数的一阶导数，会求解这两类函数中比较简单的二阶导数。</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（6）理解微分的概念，知道微分概念中所包含的局部线性化思想，知道微分的有理运算法则和一阶微分形式不变性，会运用微分公式求函数的微分。 </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难点：用导数定义求导，求参数方程二阶导数 </w:t>
      </w:r>
    </w:p>
    <w:p>
      <w:pPr>
        <w:snapToGrid w:val="0"/>
        <w:spacing w:line="288" w:lineRule="auto"/>
        <w:ind w:firstLine="420" w:firstLineChars="200"/>
        <w:rPr>
          <w:rFonts w:asciiTheme="minorEastAsia" w:hAnsiTheme="minorEastAsia" w:eastAsiaTheme="minorEastAsia"/>
          <w:color w:val="auto"/>
          <w:szCs w:val="21"/>
        </w:rPr>
      </w:pP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第三单元 中值定理与导数的应用</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教学知识点</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罗尔(Rolle)定理 拉格朗日(Lagrange)中值定理 柯西(Cauchy)中值定理 洛必达（L’Hospital）法则 函数的单调性 函数图形的凹凸性、拐点及渐近线 函数的极值及其求法 函数的最大值和最小值的求法及简单应用 函数图形的描绘</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教学能力要求</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（1）理解罗尔(Rolle)定理、拉格朗日(Lagrange)中值定理，知道柯西(Cauchy)中值定理（对三个定理的分析证明不作要求），会运用中值定理证明一些较为简单的数学问题。</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（2）会运用洛必达(L’Hospital)法则求不定式极限。</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（3）理解函数的极值概念，能运用导数判断函数的单调性和求极值。会运用导数方法求解较简单的最大值与最小值的应用问题（库存问题、利润最大问题等），会运用导数进行弹性分析。</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（4）会运用导数判断函数图形的凹凸性、求拐点，会描绘简单函数的图形（包括水平和铅直渐近线）。</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难点：应用罗尔(Rolle)定理、拉格朗日(Lagrange)中值定理来证明数学问题</w:t>
      </w:r>
    </w:p>
    <w:p>
      <w:pPr>
        <w:snapToGrid w:val="0"/>
        <w:spacing w:line="288" w:lineRule="auto"/>
        <w:ind w:firstLine="420" w:firstLineChars="200"/>
        <w:rPr>
          <w:rFonts w:asciiTheme="minorEastAsia" w:hAnsiTheme="minorEastAsia" w:eastAsiaTheme="minorEastAsia"/>
          <w:color w:val="auto"/>
          <w:szCs w:val="21"/>
        </w:rPr>
      </w:pP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第四单元 不定积分</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教学知识点</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原函数和不定积分的概念 不定积分的性质 基本积分公式 不定积分的换元积分法与分部积分法 简单有理函数的积分 简单无理函数的积分</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教学能力要求</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（1）理解原函数和不定积分的概念及性质。</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会运用不定积分的基本公式、换元积分法及分部积分法（淡化特殊积分技巧的训练，对于求有理函数积分的一般方法不作要求，对于一些简单有理函数、无理函数的积分可作为两类积分法的例题作适当的训练）计算不定积分。</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难点：对分部积分法的合理分部 求无理函数的积分</w:t>
      </w:r>
    </w:p>
    <w:p>
      <w:pPr>
        <w:snapToGrid w:val="0"/>
        <w:spacing w:line="288" w:lineRule="auto"/>
        <w:ind w:firstLine="420" w:firstLineChars="200"/>
        <w:rPr>
          <w:rFonts w:asciiTheme="minorEastAsia" w:hAnsiTheme="minorEastAsia" w:eastAsiaTheme="minorEastAsia"/>
          <w:color w:val="auto"/>
          <w:szCs w:val="21"/>
        </w:rPr>
      </w:pP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第五单元 定积分及其应用</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教学知识点</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定积分的概念与基本性质 定积分中值定理 积分上限函数及其导数 牛顿—莱布尼兹(Newton-Leibinz)公式 定积分的换元法和分部积分法 反常积分的概念和计算 定积分的元素法 定积分在几何学上的应用（平面图形的面积、旋转体的体积） 定积分在经济分析上的应用</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教学能力要求</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（1）理解定积分的概念和几何意义（对于利用定积分的定义求定积分与求极限不作要求），知道定积分的性质和积分中值定理。</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（2）理解变上限的积分作为其上限的函数及其求导定理，会运用牛顿（Newton）—莱布尼兹（Leibniz）公式。</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（3）会运用定积分的换元法与分部积分法计算定积分。</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（4）知道两类反常积分的概念，会求反常积分。</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（5）理解定积分的元素法。</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（6）会运用定积分表达并会求几何量（如平面图形的面积、旋转体的体积）和经济分析量（如边际分析、弹性分析等）。</w:t>
      </w:r>
    </w:p>
    <w:p>
      <w:pPr>
        <w:snapToGrid w:val="0"/>
        <w:spacing w:line="288"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难点：换元积分的如何正确换上下限 解定积分的应用题（特别是几何应用于求旋转体积）</w:t>
      </w:r>
    </w:p>
    <w:p>
      <w:pPr>
        <w:snapToGrid w:val="0"/>
        <w:spacing w:line="288" w:lineRule="auto"/>
        <w:ind w:firstLine="480" w:firstLineChars="200"/>
        <w:rPr>
          <w:rFonts w:hint="eastAsia" w:ascii="黑体" w:hAnsi="宋体" w:eastAsia="黑体"/>
          <w:color w:val="auto"/>
          <w:sz w:val="24"/>
        </w:rPr>
      </w:pPr>
    </w:p>
    <w:p>
      <w:pPr>
        <w:snapToGrid w:val="0"/>
        <w:spacing w:line="288" w:lineRule="auto"/>
        <w:ind w:firstLine="480" w:firstLineChars="200"/>
        <w:rPr>
          <w:rFonts w:ascii="黑体" w:hAnsi="宋体" w:eastAsia="黑体"/>
          <w:color w:val="auto"/>
          <w:sz w:val="24"/>
        </w:rPr>
      </w:pPr>
      <w:r>
        <w:rPr>
          <w:rFonts w:hint="eastAsia" w:ascii="黑体" w:hAnsi="宋体" w:eastAsia="黑体"/>
          <w:color w:val="auto"/>
          <w:sz w:val="24"/>
        </w:rPr>
        <w:t>六、评价方式与成绩（必填项）</w:t>
      </w:r>
    </w:p>
    <w:tbl>
      <w:tblPr>
        <w:tblStyle w:val="5"/>
        <w:tblpPr w:leftFromText="180" w:rightFromText="180" w:vertAnchor="text" w:horzAnchor="margin" w:tblpY="279"/>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总评构成（1+X）</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评价方式</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1</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期终考试（闭卷）</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X1</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阶段测验（闭卷） </w:t>
            </w:r>
            <w:r>
              <w:rPr>
                <w:rFonts w:hint="eastAsia" w:asciiTheme="minorEastAsia" w:hAnsiTheme="minorEastAsia" w:eastAsiaTheme="minorEastAsia"/>
                <w:color w:val="auto"/>
                <w:szCs w:val="21"/>
              </w:rPr>
              <w:t xml:space="preserve"> </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X2</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平时作业</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X3</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平时表现</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20%</w:t>
            </w:r>
          </w:p>
        </w:tc>
      </w:tr>
    </w:tbl>
    <w:p>
      <w:pPr>
        <w:snapToGrid w:val="0"/>
        <w:spacing w:line="288" w:lineRule="auto"/>
        <w:rPr>
          <w:rFonts w:asciiTheme="minorEastAsia" w:hAnsiTheme="minorEastAsia" w:eastAsiaTheme="minorEastAsia"/>
          <w:color w:val="auto"/>
          <w:szCs w:val="21"/>
        </w:rPr>
      </w:pPr>
    </w:p>
    <w:p>
      <w:pPr>
        <w:snapToGrid w:val="0"/>
        <w:spacing w:line="288" w:lineRule="auto"/>
        <w:rPr>
          <w:rFonts w:hint="default" w:eastAsia="宋体"/>
          <w:color w:val="auto"/>
          <w:sz w:val="28"/>
          <w:szCs w:val="28"/>
          <w:lang w:val="en-US" w:eastAsia="zh-CN"/>
        </w:rPr>
      </w:pPr>
      <w:r>
        <w:rPr>
          <w:rFonts w:hint="eastAsia"/>
          <w:color w:val="auto"/>
          <w:sz w:val="28"/>
          <w:szCs w:val="28"/>
        </w:rPr>
        <w:t>撰写人：</w:t>
      </w:r>
      <w:r>
        <w:rPr>
          <w:rFonts w:hint="eastAsia"/>
          <w:color w:val="auto"/>
          <w:sz w:val="28"/>
          <w:szCs w:val="28"/>
          <w:lang w:val="en-US" w:eastAsia="zh-CN"/>
        </w:rPr>
        <w:t>袁江</w:t>
      </w:r>
      <w:r>
        <w:rPr>
          <w:color w:val="auto"/>
          <w:sz w:val="28"/>
          <w:szCs w:val="28"/>
        </w:rPr>
        <w:t xml:space="preserve"> </w:t>
      </w:r>
      <w:r>
        <w:rPr>
          <w:rFonts w:hint="eastAsia"/>
          <w:color w:val="auto"/>
          <w:sz w:val="28"/>
          <w:szCs w:val="28"/>
        </w:rPr>
        <w:t xml:space="preserve"> </w:t>
      </w:r>
      <w:r>
        <w:rPr>
          <w:color w:val="auto"/>
          <w:sz w:val="28"/>
          <w:szCs w:val="28"/>
        </w:rPr>
        <w:t xml:space="preserve">   </w:t>
      </w:r>
      <w:r>
        <w:rPr>
          <w:rFonts w:hint="eastAsia"/>
          <w:color w:val="auto"/>
          <w:sz w:val="28"/>
          <w:szCs w:val="28"/>
        </w:rPr>
        <w:t>系主任审核签名：</w:t>
      </w:r>
      <w:r>
        <w:rPr>
          <w:rFonts w:hint="eastAsia"/>
          <w:color w:val="auto"/>
          <w:sz w:val="28"/>
          <w:szCs w:val="28"/>
          <w:lang w:val="en-US" w:eastAsia="zh-CN"/>
        </w:rPr>
        <w:t>察可文</w:t>
      </w:r>
      <w:r>
        <w:rPr>
          <w:color w:val="auto"/>
          <w:sz w:val="28"/>
          <w:szCs w:val="28"/>
        </w:rPr>
        <w:t xml:space="preserve"> </w:t>
      </w:r>
      <w:r>
        <w:rPr>
          <w:rFonts w:hint="eastAsia"/>
          <w:color w:val="auto"/>
          <w:sz w:val="28"/>
          <w:szCs w:val="28"/>
          <w:lang w:val="en-US" w:eastAsia="zh-CN"/>
        </w:rPr>
        <w:t xml:space="preserve">   </w:t>
      </w:r>
      <w:r>
        <w:rPr>
          <w:rFonts w:hint="eastAsia"/>
          <w:color w:val="auto"/>
          <w:sz w:val="28"/>
          <w:szCs w:val="28"/>
        </w:rPr>
        <w:t>审核时间：202</w:t>
      </w:r>
      <w:r>
        <w:rPr>
          <w:rFonts w:hint="eastAsia"/>
          <w:color w:val="auto"/>
          <w:sz w:val="28"/>
          <w:szCs w:val="28"/>
          <w:lang w:val="en-US" w:eastAsia="zh-CN"/>
        </w:rPr>
        <w:t>3</w:t>
      </w:r>
      <w:r>
        <w:rPr>
          <w:color w:val="auto"/>
          <w:sz w:val="28"/>
          <w:szCs w:val="28"/>
        </w:rPr>
        <w:t>/</w:t>
      </w:r>
      <w:r>
        <w:rPr>
          <w:rFonts w:hint="eastAsia"/>
          <w:color w:val="auto"/>
          <w:sz w:val="28"/>
          <w:szCs w:val="28"/>
        </w:rPr>
        <w:t>9</w:t>
      </w:r>
      <w:r>
        <w:rPr>
          <w:color w:val="auto"/>
          <w:sz w:val="28"/>
          <w:szCs w:val="28"/>
        </w:rPr>
        <w:t>/</w:t>
      </w:r>
      <w:r>
        <w:rPr>
          <w:rFonts w:hint="eastAsia"/>
          <w:color w:val="auto"/>
          <w:sz w:val="28"/>
          <w:szCs w:val="28"/>
          <w:lang w:val="en-US" w:eastAsia="zh-CN"/>
        </w:rPr>
        <w:t>4</w:t>
      </w:r>
    </w:p>
    <w:p>
      <w:pPr>
        <w:rPr>
          <w:color w:val="auto"/>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0ZDk0ZjVkMzBjMGJlNmRhNWUzOGY2NmRkYjlhZTcifQ=="/>
  </w:docVars>
  <w:rsids>
    <w:rsidRoot w:val="00B7651F"/>
    <w:rsid w:val="0007362F"/>
    <w:rsid w:val="00090220"/>
    <w:rsid w:val="001468D6"/>
    <w:rsid w:val="001F4A01"/>
    <w:rsid w:val="00256B39"/>
    <w:rsid w:val="0026033C"/>
    <w:rsid w:val="00263E75"/>
    <w:rsid w:val="00296D68"/>
    <w:rsid w:val="002A2C95"/>
    <w:rsid w:val="002C1F5C"/>
    <w:rsid w:val="002E3721"/>
    <w:rsid w:val="002F1A16"/>
    <w:rsid w:val="00303279"/>
    <w:rsid w:val="00313BBA"/>
    <w:rsid w:val="0032602E"/>
    <w:rsid w:val="003359B1"/>
    <w:rsid w:val="003367AE"/>
    <w:rsid w:val="00372D81"/>
    <w:rsid w:val="00387758"/>
    <w:rsid w:val="00390D87"/>
    <w:rsid w:val="004100B0"/>
    <w:rsid w:val="00433F38"/>
    <w:rsid w:val="00442299"/>
    <w:rsid w:val="00443929"/>
    <w:rsid w:val="004E1E28"/>
    <w:rsid w:val="005467DC"/>
    <w:rsid w:val="00553D03"/>
    <w:rsid w:val="00561AD2"/>
    <w:rsid w:val="00562359"/>
    <w:rsid w:val="00595C68"/>
    <w:rsid w:val="005B2B6D"/>
    <w:rsid w:val="005B4B4E"/>
    <w:rsid w:val="00624FE1"/>
    <w:rsid w:val="006717E3"/>
    <w:rsid w:val="006768C1"/>
    <w:rsid w:val="006B6039"/>
    <w:rsid w:val="006F45CB"/>
    <w:rsid w:val="007208D6"/>
    <w:rsid w:val="0085390A"/>
    <w:rsid w:val="008B397C"/>
    <w:rsid w:val="008B47F4"/>
    <w:rsid w:val="00900019"/>
    <w:rsid w:val="00966232"/>
    <w:rsid w:val="00971EB3"/>
    <w:rsid w:val="00976B79"/>
    <w:rsid w:val="0099063E"/>
    <w:rsid w:val="00A0260D"/>
    <w:rsid w:val="00A30766"/>
    <w:rsid w:val="00AA7D64"/>
    <w:rsid w:val="00B511A5"/>
    <w:rsid w:val="00B556DD"/>
    <w:rsid w:val="00B7231A"/>
    <w:rsid w:val="00B7651F"/>
    <w:rsid w:val="00BC6100"/>
    <w:rsid w:val="00BD5A40"/>
    <w:rsid w:val="00C20206"/>
    <w:rsid w:val="00C34CEF"/>
    <w:rsid w:val="00C56E09"/>
    <w:rsid w:val="00C721FD"/>
    <w:rsid w:val="00CC61FC"/>
    <w:rsid w:val="00D533EB"/>
    <w:rsid w:val="00D870C9"/>
    <w:rsid w:val="00E16D30"/>
    <w:rsid w:val="00E33169"/>
    <w:rsid w:val="00E70904"/>
    <w:rsid w:val="00E8325C"/>
    <w:rsid w:val="00EC4E89"/>
    <w:rsid w:val="00EE1EFB"/>
    <w:rsid w:val="00EF44B1"/>
    <w:rsid w:val="00F35AA0"/>
    <w:rsid w:val="00F50A2F"/>
    <w:rsid w:val="00FB12C1"/>
    <w:rsid w:val="00FF2C61"/>
    <w:rsid w:val="024B0C39"/>
    <w:rsid w:val="04826D2E"/>
    <w:rsid w:val="06CD4C74"/>
    <w:rsid w:val="07910517"/>
    <w:rsid w:val="089608E6"/>
    <w:rsid w:val="094B3B92"/>
    <w:rsid w:val="0A262787"/>
    <w:rsid w:val="0E4564D8"/>
    <w:rsid w:val="0FE06539"/>
    <w:rsid w:val="11F254F3"/>
    <w:rsid w:val="1252010C"/>
    <w:rsid w:val="13D85FB5"/>
    <w:rsid w:val="156C2EC6"/>
    <w:rsid w:val="16284132"/>
    <w:rsid w:val="16473933"/>
    <w:rsid w:val="16B27C9B"/>
    <w:rsid w:val="170C74B4"/>
    <w:rsid w:val="1C873B95"/>
    <w:rsid w:val="1D4209B0"/>
    <w:rsid w:val="1DE66A9E"/>
    <w:rsid w:val="24192CCC"/>
    <w:rsid w:val="25A20B86"/>
    <w:rsid w:val="28880EF2"/>
    <w:rsid w:val="2893259E"/>
    <w:rsid w:val="2F05640D"/>
    <w:rsid w:val="3150593A"/>
    <w:rsid w:val="3349058B"/>
    <w:rsid w:val="33550B50"/>
    <w:rsid w:val="3629614A"/>
    <w:rsid w:val="38C91DA3"/>
    <w:rsid w:val="3B8F27C5"/>
    <w:rsid w:val="3C6A07C6"/>
    <w:rsid w:val="3CD52CE1"/>
    <w:rsid w:val="3D3C55B6"/>
    <w:rsid w:val="3EA67592"/>
    <w:rsid w:val="3F340D5A"/>
    <w:rsid w:val="3F8135CC"/>
    <w:rsid w:val="41736F2E"/>
    <w:rsid w:val="418E0EDE"/>
    <w:rsid w:val="41E544BE"/>
    <w:rsid w:val="44F45A0F"/>
    <w:rsid w:val="4769701E"/>
    <w:rsid w:val="47F74AD1"/>
    <w:rsid w:val="4AD067FC"/>
    <w:rsid w:val="4C653F3E"/>
    <w:rsid w:val="53452CDD"/>
    <w:rsid w:val="543E18F6"/>
    <w:rsid w:val="54875D3D"/>
    <w:rsid w:val="59232A26"/>
    <w:rsid w:val="5DC417FA"/>
    <w:rsid w:val="5E982E77"/>
    <w:rsid w:val="5EF07C91"/>
    <w:rsid w:val="5F942D12"/>
    <w:rsid w:val="5FC353A5"/>
    <w:rsid w:val="66BA4938"/>
    <w:rsid w:val="67153143"/>
    <w:rsid w:val="6EC86481"/>
    <w:rsid w:val="6F5042C2"/>
    <w:rsid w:val="70CD6084"/>
    <w:rsid w:val="71F2699E"/>
    <w:rsid w:val="726B5B54"/>
    <w:rsid w:val="74A5486D"/>
    <w:rsid w:val="763E0066"/>
    <w:rsid w:val="768369B6"/>
    <w:rsid w:val="76FF686B"/>
    <w:rsid w:val="773E764D"/>
    <w:rsid w:val="796D0776"/>
    <w:rsid w:val="79B427DE"/>
    <w:rsid w:val="7B122C46"/>
    <w:rsid w:val="7FBC6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Unresolved Mention"/>
    <w:basedOn w:val="7"/>
    <w:semiHidden/>
    <w:unhideWhenUsed/>
    <w:qFormat/>
    <w:uiPriority w:val="99"/>
    <w:rPr>
      <w:color w:val="605E5C"/>
      <w:shd w:val="clear" w:color="auto" w:fill="E1DFDD"/>
    </w:rPr>
  </w:style>
  <w:style w:type="paragraph" w:customStyle="1" w:styleId="12">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3466</Words>
  <Characters>3668</Characters>
  <Lines>28</Lines>
  <Paragraphs>8</Paragraphs>
  <TotalTime>0</TotalTime>
  <ScaleCrop>false</ScaleCrop>
  <LinksUpToDate>false</LinksUpToDate>
  <CharactersWithSpaces>3779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归去来兮</cp:lastModifiedBy>
  <dcterms:modified xsi:type="dcterms:W3CDTF">2023-09-14T04:24:15Z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735D75B40C6A4C2BAFF2FEB946F0DDAB</vt:lpwstr>
  </property>
</Properties>
</file>