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26CFF">
      <w:pPr>
        <w:spacing w:line="288" w:lineRule="auto"/>
        <w:jc w:val="center"/>
        <w:rPr>
          <w:rFonts w:hint="eastAsia" w:asciiTheme="majorEastAsia" w:hAnsiTheme="majorEastAsia" w:eastAsiaTheme="majorEastAsia" w:cstheme="majorEastAsia"/>
          <w:bCs/>
          <w:kern w:val="0"/>
          <w:sz w:val="30"/>
          <w:szCs w:val="30"/>
        </w:rPr>
      </w:pPr>
      <w:r>
        <w:rPr>
          <w:rFonts w:hint="eastAsia" w:asciiTheme="majorEastAsia" w:hAnsiTheme="majorEastAsia" w:eastAsiaTheme="majorEastAsia" w:cstheme="majorEastAsia"/>
          <w:sz w:val="30"/>
          <w:szCs w:val="3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3175"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09161547">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09161547">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ajorEastAsia" w:hAnsiTheme="majorEastAsia" w:eastAsiaTheme="majorEastAsia" w:cstheme="majorEastAsia"/>
          <w:bCs/>
          <w:kern w:val="0"/>
          <w:sz w:val="30"/>
          <w:szCs w:val="30"/>
        </w:rPr>
        <w:t>专业课课程教学大纲模板</w:t>
      </w:r>
    </w:p>
    <w:p w14:paraId="247ACC84">
      <w:pPr>
        <w:spacing w:line="288" w:lineRule="auto"/>
        <w:jc w:val="center"/>
        <w:rPr>
          <w:rFonts w:ascii="Arial" w:hAnsi="Arial" w:cs="Arial"/>
          <w:color w:val="888888"/>
          <w:kern w:val="0"/>
          <w:sz w:val="20"/>
          <w:szCs w:val="20"/>
        </w:rPr>
      </w:pPr>
      <w:r>
        <w:rPr>
          <w:rFonts w:hint="eastAsia"/>
          <w:b/>
          <w:sz w:val="28"/>
          <w:szCs w:val="30"/>
        </w:rPr>
        <w:t>【</w:t>
      </w:r>
      <w:r>
        <w:rPr>
          <w:rFonts w:hint="eastAsia"/>
          <w:b/>
          <w:sz w:val="28"/>
          <w:szCs w:val="30"/>
          <w:lang w:val="en-US" w:eastAsia="zh-CN"/>
        </w:rPr>
        <w:t>早教机构经营与管理</w:t>
      </w:r>
      <w:r>
        <w:rPr>
          <w:rFonts w:hint="eastAsia"/>
          <w:b/>
          <w:sz w:val="28"/>
          <w:szCs w:val="30"/>
        </w:rPr>
        <w:t>】</w:t>
      </w:r>
      <w:r>
        <w:rPr>
          <w:rFonts w:hint="eastAsia"/>
          <w:b/>
          <w:sz w:val="28"/>
          <w:szCs w:val="30"/>
          <w:lang w:eastAsia="zh-CN"/>
        </w:rPr>
        <w:t>（</w:t>
      </w:r>
      <w:r>
        <w:rPr>
          <w:rFonts w:hint="eastAsia"/>
          <w:b/>
          <w:sz w:val="28"/>
          <w:szCs w:val="30"/>
          <w:lang w:val="en-US" w:eastAsia="zh-CN"/>
        </w:rPr>
        <w:t>专升本）</w:t>
      </w:r>
      <w:bookmarkStart w:id="0" w:name="a2"/>
      <w:bookmarkEnd w:id="0"/>
    </w:p>
    <w:p w14:paraId="3191E309">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43BA3661">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1130012</w:t>
      </w:r>
      <w:r>
        <w:rPr>
          <w:color w:val="000000"/>
          <w:sz w:val="20"/>
          <w:szCs w:val="20"/>
        </w:rPr>
        <w:t>】</w:t>
      </w:r>
    </w:p>
    <w:p w14:paraId="0384A092">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14:paraId="50F9F4FF">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14:paraId="61D22010">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选修课</w:t>
      </w:r>
      <w:r>
        <w:rPr>
          <w:color w:val="000000"/>
          <w:sz w:val="20"/>
          <w:szCs w:val="20"/>
        </w:rPr>
        <w:t>】</w:t>
      </w:r>
    </w:p>
    <w:p w14:paraId="3FE6666F">
      <w:pPr>
        <w:snapToGrid w:val="0"/>
        <w:spacing w:line="288" w:lineRule="auto"/>
        <w:ind w:firstLine="392"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学前教育系</w:t>
      </w:r>
    </w:p>
    <w:p w14:paraId="7A1D840A">
      <w:pPr>
        <w:snapToGrid w:val="0"/>
        <w:spacing w:line="288" w:lineRule="auto"/>
        <w:ind w:firstLine="392" w:firstLineChars="196"/>
        <w:rPr>
          <w:rFonts w:hint="default" w:eastAsia="宋体"/>
          <w:color w:val="000000"/>
          <w:sz w:val="20"/>
          <w:szCs w:val="20"/>
          <w:lang w:val="en-US" w:eastAsia="zh-CN"/>
        </w:rPr>
      </w:pPr>
      <w:r>
        <w:rPr>
          <w:b/>
          <w:bCs/>
          <w:color w:val="000000"/>
          <w:sz w:val="20"/>
          <w:szCs w:val="20"/>
        </w:rPr>
        <w:t>使用教材：</w:t>
      </w:r>
      <w:r>
        <w:rPr>
          <w:rFonts w:hint="eastAsia"/>
          <w:b/>
          <w:bCs/>
          <w:color w:val="000000"/>
          <w:sz w:val="20"/>
          <w:szCs w:val="20"/>
          <w:lang w:eastAsia="zh-CN"/>
        </w:rPr>
        <w:t>《</w:t>
      </w:r>
      <w:r>
        <w:rPr>
          <w:rFonts w:hint="eastAsia"/>
          <w:b/>
          <w:bCs/>
          <w:color w:val="000000"/>
          <w:sz w:val="20"/>
          <w:szCs w:val="20"/>
          <w:lang w:val="en-US" w:eastAsia="zh-CN"/>
        </w:rPr>
        <w:t>早教机构运营管理</w:t>
      </w:r>
      <w:r>
        <w:rPr>
          <w:rFonts w:hint="eastAsia"/>
          <w:b/>
          <w:bCs/>
          <w:color w:val="000000"/>
          <w:sz w:val="20"/>
          <w:szCs w:val="20"/>
          <w:lang w:eastAsia="zh-CN"/>
        </w:rPr>
        <w:t>》</w:t>
      </w:r>
      <w:r>
        <w:rPr>
          <w:rFonts w:hint="eastAsia"/>
          <w:b/>
          <w:bCs/>
          <w:color w:val="000000"/>
          <w:sz w:val="20"/>
          <w:szCs w:val="20"/>
          <w:lang w:val="en-US" w:eastAsia="zh-CN"/>
        </w:rPr>
        <w:t>西南师范大学出版社</w:t>
      </w:r>
      <w:r>
        <w:rPr>
          <w:rFonts w:hint="eastAsia"/>
          <w:color w:val="000000"/>
          <w:sz w:val="20"/>
          <w:szCs w:val="20"/>
          <w:lang w:val="en-US" w:eastAsia="zh-CN"/>
        </w:rPr>
        <w:t xml:space="preserve">  2021，8</w:t>
      </w:r>
    </w:p>
    <w:p w14:paraId="5C34433B">
      <w:pPr>
        <w:snapToGrid w:val="0"/>
        <w:spacing w:line="288" w:lineRule="auto"/>
        <w:ind w:firstLine="420"/>
        <w:rPr>
          <w:rFonts w:hint="eastAsia"/>
          <w:color w:val="000000"/>
          <w:szCs w:val="21"/>
          <w:lang w:val="en-US" w:eastAsia="zh-CN"/>
        </w:rPr>
      </w:pPr>
      <w:r>
        <w:rPr>
          <w:rFonts w:hint="eastAsia"/>
          <w:color w:val="000000"/>
          <w:szCs w:val="21"/>
          <w:lang w:val="en-US" w:eastAsia="zh-CN"/>
        </w:rPr>
        <w:t>参考书目：《早教机构策划 运营 推广》化学工业出版社</w:t>
      </w:r>
    </w:p>
    <w:p w14:paraId="20EBAC17">
      <w:pPr>
        <w:snapToGrid w:val="0"/>
        <w:spacing w:line="288" w:lineRule="auto"/>
        <w:ind w:firstLine="420"/>
        <w:rPr>
          <w:rFonts w:hint="eastAsia"/>
          <w:color w:val="000000"/>
          <w:szCs w:val="21"/>
          <w:lang w:val="en-US" w:eastAsia="zh-CN"/>
        </w:rPr>
      </w:pPr>
      <w:r>
        <w:rPr>
          <w:rFonts w:hint="eastAsia"/>
          <w:color w:val="000000"/>
          <w:szCs w:val="21"/>
          <w:lang w:val="en-US" w:eastAsia="zh-CN"/>
        </w:rPr>
        <w:t xml:space="preserve">         《婴幼儿照护服务文件汇编》 中国人口出版社 国家卫生健康人口家庭司 编</w:t>
      </w:r>
    </w:p>
    <w:p w14:paraId="3D13BC6A">
      <w:pPr>
        <w:snapToGrid w:val="0"/>
        <w:spacing w:line="288" w:lineRule="auto"/>
        <w:ind w:firstLine="420"/>
        <w:rPr>
          <w:rFonts w:hint="default"/>
          <w:color w:val="000000"/>
          <w:szCs w:val="21"/>
          <w:lang w:val="en-US" w:eastAsia="zh-CN"/>
        </w:rPr>
      </w:pPr>
      <w:r>
        <w:rPr>
          <w:rFonts w:hint="eastAsia"/>
          <w:color w:val="000000"/>
          <w:szCs w:val="21"/>
          <w:lang w:val="en-US" w:eastAsia="zh-CN"/>
        </w:rPr>
        <w:t xml:space="preserve">         《如何开家早教机构》化学工业出版社</w:t>
      </w:r>
    </w:p>
    <w:p w14:paraId="16D537E4">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2A3C7C8D">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 xml:space="preserve">早教机构经营与管理 </w:t>
      </w:r>
      <w:r>
        <w:rPr>
          <w:rFonts w:hint="eastAsia"/>
          <w:color w:val="000000"/>
          <w:sz w:val="20"/>
          <w:szCs w:val="20"/>
          <w:lang w:eastAsia="zh-CN"/>
        </w:rPr>
        <w:t>》</w:t>
      </w:r>
      <w:r>
        <w:rPr>
          <w:rFonts w:hint="eastAsia"/>
          <w:color w:val="000000"/>
          <w:sz w:val="20"/>
          <w:szCs w:val="20"/>
          <w:lang w:val="en-US" w:eastAsia="zh-CN"/>
        </w:rPr>
        <w:t>课程是教育学科体系的一门基础课程 是教育学类专业的一门基础课程，是学前教育专业学生专业拓展方向的必选课之一。适合学生对教育实践感兴趣的同学选读。学好早教机构经营管理课程为以后从事早教领域的工作研究和实践奠定良好的基础。</w:t>
      </w:r>
    </w:p>
    <w:p w14:paraId="530197C6">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lang w:val="en-US" w:eastAsia="zh-CN"/>
        </w:rPr>
        <w:t>早教机构的经营与管理对早教机构运营管理的基本概念进行详细的描述，早教机构的创办、早教机构的人事管理、课程管理、安全管理、班级管理、经费与物资管理、运营管理等方面进行详细的分析和深入思考与总结。本课程着眼于培养学生对早教机构的运营与管理有清晰的认识，以严谨、科学地态度分析早教机构的运营与管理。</w:t>
      </w:r>
    </w:p>
    <w:p w14:paraId="1D05E839">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58EA5844">
      <w:pPr>
        <w:snapToGrid w:val="0"/>
        <w:spacing w:line="288" w:lineRule="auto"/>
        <w:ind w:firstLine="400" w:firstLineChars="200"/>
        <w:rPr>
          <w:color w:val="000000"/>
          <w:sz w:val="20"/>
          <w:szCs w:val="20"/>
        </w:rPr>
      </w:pPr>
      <w:r>
        <w:rPr>
          <w:rFonts w:hint="eastAsia"/>
          <w:color w:val="000000"/>
          <w:sz w:val="20"/>
          <w:szCs w:val="20"/>
          <w:lang w:val="en-US" w:eastAsia="zh-CN"/>
        </w:rPr>
        <w:t>该课程是学前教育专业方向的专业选修课。学生应具有一定的教育基础知识、理论思辨能力和自主学习能力，他们肯定能够掌握这门课程。</w:t>
      </w:r>
    </w:p>
    <w:p w14:paraId="3310EC8D">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9096" w:type="dxa"/>
        <w:tblInd w:w="93" w:type="dxa"/>
        <w:tblLayout w:type="fixed"/>
        <w:tblCellMar>
          <w:top w:w="0" w:type="dxa"/>
          <w:left w:w="108" w:type="dxa"/>
          <w:bottom w:w="0" w:type="dxa"/>
          <w:right w:w="108" w:type="dxa"/>
        </w:tblCellMar>
      </w:tblPr>
      <w:tblGrid>
        <w:gridCol w:w="8237"/>
        <w:gridCol w:w="859"/>
      </w:tblGrid>
      <w:tr w14:paraId="7A5C390D">
        <w:trPr>
          <w:trHeight w:val="158"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14:paraId="3AC49ED4">
            <w:pPr>
              <w:snapToGrid w:val="0"/>
              <w:spacing w:before="156" w:beforeLines="50" w:after="156" w:afterLines="50"/>
              <w:jc w:val="center"/>
              <w:rPr>
                <w:rFonts w:ascii="宋体" w:hAnsi="宋体"/>
                <w:sz w:val="20"/>
                <w:szCs w:val="20"/>
              </w:rPr>
            </w:pPr>
            <w:r>
              <w:rPr>
                <w:rFonts w:hint="eastAsia" w:ascii="宋体" w:hAnsi="宋体"/>
                <w:sz w:val="20"/>
                <w:szCs w:val="20"/>
              </w:rPr>
              <w:t>专业毕业要求</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6449995E">
            <w:pPr>
              <w:snapToGrid w:val="0"/>
              <w:spacing w:before="156" w:beforeLines="50" w:after="156" w:afterLines="50"/>
              <w:jc w:val="center"/>
              <w:rPr>
                <w:rFonts w:ascii="宋体" w:hAnsi="宋体"/>
                <w:sz w:val="20"/>
                <w:szCs w:val="20"/>
              </w:rPr>
            </w:pPr>
            <w:r>
              <w:rPr>
                <w:rFonts w:hint="eastAsia" w:ascii="宋体" w:hAnsi="宋体"/>
                <w:sz w:val="20"/>
                <w:szCs w:val="20"/>
              </w:rPr>
              <w:t>关联</w:t>
            </w:r>
          </w:p>
        </w:tc>
      </w:tr>
      <w:tr w14:paraId="2DC9B314">
        <w:trPr>
          <w:trHeight w:val="283"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14:paraId="1A3659E9">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XQ111</w:t>
            </w:r>
            <w:r>
              <w:rPr>
                <w:rFonts w:hint="eastAsia" w:ascii="楷体_GB2312" w:hAnsi="楷体" w:eastAsia="楷体_GB2312"/>
                <w:bCs/>
                <w:sz w:val="24"/>
              </w:rPr>
              <w:t xml:space="preserve">认同社会主义核心价值观。 </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635B54A2">
            <w:pPr>
              <w:jc w:val="center"/>
              <w:rPr>
                <w:rFonts w:ascii="仿宋" w:hAnsi="仿宋" w:eastAsia="仿宋" w:cs="宋体"/>
                <w:color w:val="000000"/>
                <w:kern w:val="0"/>
                <w:sz w:val="24"/>
                <w:szCs w:val="20"/>
              </w:rPr>
            </w:pPr>
          </w:p>
        </w:tc>
      </w:tr>
      <w:tr w14:paraId="3892610B">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30F57A5">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XQ112</w:t>
            </w:r>
            <w:r>
              <w:rPr>
                <w:rFonts w:hint="eastAsia" w:ascii="楷体_GB2312" w:hAnsi="楷体" w:eastAsia="楷体_GB2312"/>
                <w:bCs/>
                <w:sz w:val="24"/>
              </w:rPr>
              <w:t>理解与践行学前教育核心价值。</w:t>
            </w:r>
          </w:p>
        </w:tc>
        <w:tc>
          <w:tcPr>
            <w:tcW w:w="859" w:type="dxa"/>
            <w:tcBorders>
              <w:top w:val="nil"/>
              <w:left w:val="single" w:color="auto" w:sz="4" w:space="0"/>
              <w:bottom w:val="single" w:color="auto" w:sz="4" w:space="0"/>
              <w:right w:val="single" w:color="auto" w:sz="4" w:space="0"/>
            </w:tcBorders>
            <w:noWrap w:val="0"/>
            <w:vAlign w:val="center"/>
          </w:tcPr>
          <w:p w14:paraId="0B1E19D6">
            <w:pPr>
              <w:jc w:val="center"/>
              <w:rPr>
                <w:color w:val="000000"/>
                <w:kern w:val="0"/>
                <w:sz w:val="20"/>
                <w:szCs w:val="20"/>
              </w:rPr>
            </w:pPr>
          </w:p>
        </w:tc>
      </w:tr>
      <w:tr w14:paraId="103C9005">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B180B6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Q113</w:t>
            </w:r>
            <w:r>
              <w:rPr>
                <w:rFonts w:hint="eastAsia" w:ascii="楷体_GB2312" w:hAnsi="楷体" w:eastAsia="楷体_GB2312"/>
                <w:bCs/>
                <w:sz w:val="24"/>
              </w:rPr>
              <w:t>明确与践行幼儿园教师保教行为规范。</w:t>
            </w:r>
          </w:p>
        </w:tc>
        <w:tc>
          <w:tcPr>
            <w:tcW w:w="859" w:type="dxa"/>
            <w:tcBorders>
              <w:top w:val="nil"/>
              <w:left w:val="single" w:color="auto" w:sz="4" w:space="0"/>
              <w:bottom w:val="single" w:color="auto" w:sz="4" w:space="0"/>
              <w:right w:val="single" w:color="auto" w:sz="4" w:space="0"/>
            </w:tcBorders>
            <w:noWrap w:val="0"/>
            <w:vAlign w:val="center"/>
          </w:tcPr>
          <w:p w14:paraId="4F046004">
            <w:pPr>
              <w:jc w:val="center"/>
              <w:rPr>
                <w:color w:val="000000"/>
                <w:kern w:val="0"/>
                <w:sz w:val="20"/>
                <w:szCs w:val="20"/>
              </w:rPr>
            </w:pPr>
          </w:p>
        </w:tc>
      </w:tr>
      <w:tr w14:paraId="6259A312">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13E1A83">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 xml:space="preserve">增强专业认同感和使命感。 </w:t>
            </w:r>
          </w:p>
        </w:tc>
        <w:tc>
          <w:tcPr>
            <w:tcW w:w="859" w:type="dxa"/>
            <w:tcBorders>
              <w:top w:val="nil"/>
              <w:left w:val="single" w:color="auto" w:sz="4" w:space="0"/>
              <w:bottom w:val="single" w:color="auto" w:sz="4" w:space="0"/>
              <w:right w:val="single" w:color="auto" w:sz="4" w:space="0"/>
            </w:tcBorders>
            <w:noWrap w:val="0"/>
            <w:vAlign w:val="center"/>
          </w:tcPr>
          <w:p w14:paraId="434B6242">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62F32F5D">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036DBAD">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XQ122</w:t>
            </w:r>
            <w:r>
              <w:rPr>
                <w:rFonts w:hint="eastAsia" w:ascii="楷体_GB2312" w:hAnsi="楷体" w:eastAsia="楷体_GB2312"/>
                <w:bCs/>
                <w:sz w:val="24"/>
              </w:rPr>
              <w:t>具有人文底蕴、生命关怀和科学精神。</w:t>
            </w:r>
          </w:p>
        </w:tc>
        <w:tc>
          <w:tcPr>
            <w:tcW w:w="859" w:type="dxa"/>
            <w:tcBorders>
              <w:top w:val="nil"/>
              <w:left w:val="single" w:color="auto" w:sz="4" w:space="0"/>
              <w:bottom w:val="single" w:color="auto" w:sz="4" w:space="0"/>
              <w:right w:val="single" w:color="auto" w:sz="4" w:space="0"/>
            </w:tcBorders>
            <w:noWrap w:val="0"/>
            <w:vAlign w:val="center"/>
          </w:tcPr>
          <w:p w14:paraId="32A87D47">
            <w:pPr>
              <w:widowControl/>
              <w:jc w:val="center"/>
              <w:rPr>
                <w:color w:val="000000"/>
                <w:kern w:val="0"/>
                <w:sz w:val="20"/>
                <w:szCs w:val="20"/>
              </w:rPr>
            </w:pPr>
          </w:p>
        </w:tc>
      </w:tr>
      <w:tr w14:paraId="30B98243">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EA7A0FD">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XQ123</w:t>
            </w:r>
            <w:r>
              <w:rPr>
                <w:rFonts w:hint="eastAsia" w:ascii="楷体_GB2312" w:hAnsi="楷体" w:eastAsia="楷体_GB2312"/>
                <w:bCs/>
                <w:sz w:val="24"/>
              </w:rPr>
              <w:t>践行幼儿为本和爱与自由理念。</w:t>
            </w:r>
          </w:p>
        </w:tc>
        <w:tc>
          <w:tcPr>
            <w:tcW w:w="859" w:type="dxa"/>
            <w:tcBorders>
              <w:top w:val="nil"/>
              <w:left w:val="single" w:color="auto" w:sz="4" w:space="0"/>
              <w:bottom w:val="single" w:color="auto" w:sz="4" w:space="0"/>
              <w:right w:val="single" w:color="auto" w:sz="4" w:space="0"/>
            </w:tcBorders>
            <w:noWrap w:val="0"/>
            <w:vAlign w:val="center"/>
          </w:tcPr>
          <w:p w14:paraId="1374EACA">
            <w:pPr>
              <w:widowControl/>
              <w:jc w:val="center"/>
              <w:rPr>
                <w:rFonts w:hint="eastAsia"/>
                <w:color w:val="000000"/>
                <w:kern w:val="0"/>
                <w:sz w:val="20"/>
                <w:szCs w:val="20"/>
              </w:rPr>
            </w:pPr>
            <w:r>
              <w:rPr>
                <w:rFonts w:hint="eastAsia"/>
                <w:color w:val="000000"/>
                <w:kern w:val="0"/>
                <w:sz w:val="20"/>
                <w:szCs w:val="20"/>
              </w:rPr>
              <w:t xml:space="preserve"> </w:t>
            </w:r>
          </w:p>
        </w:tc>
      </w:tr>
      <w:tr w14:paraId="642CAF4D">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BF57493">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XQ21</w:t>
            </w:r>
            <w:r>
              <w:rPr>
                <w:rFonts w:hint="eastAsia" w:ascii="仿宋" w:hAnsi="仿宋" w:eastAsia="仿宋" w:cs="宋体"/>
                <w:color w:val="000000"/>
                <w:kern w:val="0"/>
                <w:sz w:val="24"/>
                <w:szCs w:val="24"/>
              </w:rPr>
              <w:t>1</w:t>
            </w:r>
            <w:r>
              <w:rPr>
                <w:rFonts w:hint="eastAsia" w:ascii="楷体_GB2312" w:hAnsi="楷体" w:eastAsia="楷体_GB2312"/>
                <w:bCs/>
                <w:sz w:val="24"/>
              </w:rPr>
              <w:t>掌握儿童发展、儿童研究的基本理论。</w:t>
            </w:r>
          </w:p>
        </w:tc>
        <w:tc>
          <w:tcPr>
            <w:tcW w:w="859" w:type="dxa"/>
            <w:tcBorders>
              <w:top w:val="nil"/>
              <w:left w:val="single" w:color="auto" w:sz="4" w:space="0"/>
              <w:bottom w:val="single" w:color="auto" w:sz="4" w:space="0"/>
              <w:right w:val="single" w:color="auto" w:sz="4" w:space="0"/>
            </w:tcBorders>
            <w:noWrap w:val="0"/>
            <w:vAlign w:val="center"/>
          </w:tcPr>
          <w:p w14:paraId="037D9E4B">
            <w:pPr>
              <w:widowControl/>
              <w:jc w:val="center"/>
              <w:rPr>
                <w:rFonts w:ascii="仿宋" w:hAnsi="仿宋" w:eastAsia="仿宋" w:cs="宋体"/>
                <w:color w:val="000000"/>
                <w:kern w:val="0"/>
                <w:sz w:val="24"/>
                <w:szCs w:val="20"/>
              </w:rPr>
            </w:pPr>
          </w:p>
        </w:tc>
      </w:tr>
      <w:tr w14:paraId="5A922D89">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DB117D1">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859" w:type="dxa"/>
            <w:tcBorders>
              <w:top w:val="nil"/>
              <w:left w:val="single" w:color="auto" w:sz="4" w:space="0"/>
              <w:bottom w:val="single" w:color="auto" w:sz="4" w:space="0"/>
              <w:right w:val="single" w:color="auto" w:sz="4" w:space="0"/>
            </w:tcBorders>
            <w:noWrap w:val="0"/>
            <w:vAlign w:val="center"/>
          </w:tcPr>
          <w:p w14:paraId="4C19461B">
            <w:pPr>
              <w:widowControl/>
              <w:jc w:val="center"/>
              <w:rPr>
                <w:rFonts w:ascii="仿宋" w:hAnsi="仿宋" w:eastAsia="仿宋" w:cs="宋体"/>
                <w:color w:val="000000"/>
                <w:kern w:val="0"/>
                <w:sz w:val="24"/>
                <w:szCs w:val="20"/>
              </w:rPr>
            </w:pPr>
          </w:p>
        </w:tc>
      </w:tr>
      <w:tr w14:paraId="79140E7C">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279296C">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859" w:type="dxa"/>
            <w:tcBorders>
              <w:top w:val="nil"/>
              <w:left w:val="single" w:color="auto" w:sz="4" w:space="0"/>
              <w:bottom w:val="single" w:color="auto" w:sz="4" w:space="0"/>
              <w:right w:val="single" w:color="auto" w:sz="4" w:space="0"/>
            </w:tcBorders>
            <w:noWrap w:val="0"/>
            <w:vAlign w:val="center"/>
          </w:tcPr>
          <w:p w14:paraId="4CF70AE6">
            <w:pPr>
              <w:widowControl/>
              <w:jc w:val="center"/>
              <w:rPr>
                <w:rFonts w:ascii="仿宋" w:hAnsi="仿宋" w:eastAsia="仿宋" w:cs="宋体"/>
                <w:color w:val="000000"/>
                <w:kern w:val="0"/>
                <w:sz w:val="24"/>
                <w:szCs w:val="20"/>
              </w:rPr>
            </w:pPr>
          </w:p>
        </w:tc>
      </w:tr>
      <w:tr w14:paraId="58A4D389">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70101B6">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859" w:type="dxa"/>
            <w:tcBorders>
              <w:top w:val="nil"/>
              <w:left w:val="single" w:color="auto" w:sz="4" w:space="0"/>
              <w:bottom w:val="single" w:color="auto" w:sz="4" w:space="0"/>
              <w:right w:val="single" w:color="auto" w:sz="4" w:space="0"/>
            </w:tcBorders>
            <w:noWrap w:val="0"/>
            <w:vAlign w:val="center"/>
          </w:tcPr>
          <w:p w14:paraId="12D9BE77">
            <w:pPr>
              <w:widowControl/>
              <w:jc w:val="center"/>
              <w:rPr>
                <w:rFonts w:ascii="仿宋" w:hAnsi="仿宋" w:eastAsia="仿宋" w:cs="宋体"/>
                <w:color w:val="000000"/>
                <w:kern w:val="0"/>
                <w:sz w:val="24"/>
                <w:szCs w:val="20"/>
              </w:rPr>
            </w:pPr>
          </w:p>
        </w:tc>
      </w:tr>
      <w:tr w14:paraId="7105322B">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9AEED02">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Q222</w:t>
            </w:r>
            <w:r>
              <w:rPr>
                <w:rFonts w:hint="eastAsia" w:ascii="楷体_GB2312" w:hAnsi="楷体" w:eastAsia="楷体_GB2312"/>
                <w:bCs/>
                <w:sz w:val="24"/>
              </w:rPr>
              <w:t>掌握幼儿园保育和教育的基本知识和方法。</w:t>
            </w:r>
          </w:p>
        </w:tc>
        <w:tc>
          <w:tcPr>
            <w:tcW w:w="859" w:type="dxa"/>
            <w:tcBorders>
              <w:top w:val="nil"/>
              <w:left w:val="single" w:color="auto" w:sz="4" w:space="0"/>
              <w:bottom w:val="single" w:color="auto" w:sz="4" w:space="0"/>
              <w:right w:val="single" w:color="auto" w:sz="4" w:space="0"/>
            </w:tcBorders>
            <w:noWrap w:val="0"/>
            <w:vAlign w:val="center"/>
          </w:tcPr>
          <w:p w14:paraId="1D6542E2">
            <w:pPr>
              <w:widowControl/>
              <w:jc w:val="center"/>
              <w:rPr>
                <w:color w:val="000000"/>
                <w:kern w:val="0"/>
                <w:sz w:val="20"/>
                <w:szCs w:val="20"/>
              </w:rPr>
            </w:pPr>
          </w:p>
        </w:tc>
      </w:tr>
      <w:tr w14:paraId="44C043DA">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B7E1B2F">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Q223</w:t>
            </w:r>
            <w:r>
              <w:rPr>
                <w:rFonts w:hint="eastAsia" w:ascii="楷体_GB2312" w:hAnsi="楷体" w:eastAsia="楷体_GB2312"/>
                <w:bCs/>
                <w:sz w:val="24"/>
              </w:rPr>
              <w:t>熟悉五大领域知识并能合理运用于综合活动中。</w:t>
            </w:r>
          </w:p>
        </w:tc>
        <w:tc>
          <w:tcPr>
            <w:tcW w:w="859" w:type="dxa"/>
            <w:tcBorders>
              <w:top w:val="nil"/>
              <w:left w:val="single" w:color="auto" w:sz="4" w:space="0"/>
              <w:bottom w:val="single" w:color="auto" w:sz="4" w:space="0"/>
              <w:right w:val="single" w:color="auto" w:sz="4" w:space="0"/>
            </w:tcBorders>
            <w:noWrap w:val="0"/>
            <w:vAlign w:val="center"/>
          </w:tcPr>
          <w:p w14:paraId="6C317192">
            <w:pPr>
              <w:widowControl/>
              <w:jc w:val="center"/>
              <w:rPr>
                <w:color w:val="000000"/>
                <w:kern w:val="0"/>
                <w:sz w:val="20"/>
                <w:szCs w:val="20"/>
              </w:rPr>
            </w:pPr>
          </w:p>
        </w:tc>
      </w:tr>
      <w:tr w14:paraId="58044CF2">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424759B">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w:t>
            </w:r>
            <w:r>
              <w:rPr>
                <w:rFonts w:ascii="仿宋" w:hAnsi="仿宋" w:eastAsia="仿宋" w:cs="宋体"/>
                <w:color w:val="000000"/>
                <w:kern w:val="0"/>
                <w:sz w:val="24"/>
                <w:szCs w:val="24"/>
              </w:rPr>
              <w:t>1</w:t>
            </w:r>
            <w:r>
              <w:rPr>
                <w:rFonts w:hint="eastAsia" w:ascii="楷体_GB2312" w:hAnsi="楷体" w:eastAsia="楷体_GB2312"/>
                <w:bCs/>
                <w:sz w:val="24"/>
              </w:rPr>
              <w:t>充分认识大自然、大社会对幼儿发展的价值。</w:t>
            </w:r>
          </w:p>
        </w:tc>
        <w:tc>
          <w:tcPr>
            <w:tcW w:w="859" w:type="dxa"/>
            <w:tcBorders>
              <w:top w:val="nil"/>
              <w:left w:val="single" w:color="auto" w:sz="4" w:space="0"/>
              <w:bottom w:val="single" w:color="auto" w:sz="4" w:space="0"/>
              <w:right w:val="single" w:color="auto" w:sz="4" w:space="0"/>
            </w:tcBorders>
            <w:noWrap w:val="0"/>
            <w:vAlign w:val="center"/>
          </w:tcPr>
          <w:p w14:paraId="08671855">
            <w:pPr>
              <w:widowControl/>
              <w:jc w:val="center"/>
              <w:rPr>
                <w:rFonts w:ascii="仿宋" w:hAnsi="仿宋" w:eastAsia="仿宋" w:cs="宋体"/>
                <w:color w:val="000000"/>
                <w:kern w:val="0"/>
                <w:sz w:val="24"/>
                <w:szCs w:val="20"/>
              </w:rPr>
            </w:pPr>
          </w:p>
        </w:tc>
      </w:tr>
      <w:tr w14:paraId="75D18546">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BFBB791">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859" w:type="dxa"/>
            <w:tcBorders>
              <w:top w:val="nil"/>
              <w:left w:val="single" w:color="auto" w:sz="4" w:space="0"/>
              <w:bottom w:val="single" w:color="auto" w:sz="4" w:space="0"/>
              <w:right w:val="single" w:color="auto" w:sz="4" w:space="0"/>
            </w:tcBorders>
            <w:noWrap w:val="0"/>
            <w:vAlign w:val="center"/>
          </w:tcPr>
          <w:p w14:paraId="1E361C72">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3EC5023E">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31104E7B">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XQ233</w:t>
            </w:r>
            <w:r>
              <w:rPr>
                <w:rFonts w:hint="eastAsia" w:ascii="楷体_GB2312" w:hAnsi="楷体" w:eastAsia="楷体_GB2312"/>
                <w:bCs/>
                <w:sz w:val="24"/>
              </w:rPr>
              <w:t>具备幼儿与环境互动质量的评价能力。</w:t>
            </w:r>
          </w:p>
        </w:tc>
        <w:tc>
          <w:tcPr>
            <w:tcW w:w="859" w:type="dxa"/>
            <w:tcBorders>
              <w:top w:val="nil"/>
              <w:left w:val="single" w:color="auto" w:sz="4" w:space="0"/>
              <w:bottom w:val="single" w:color="auto" w:sz="4" w:space="0"/>
              <w:right w:val="single" w:color="auto" w:sz="4" w:space="0"/>
            </w:tcBorders>
            <w:noWrap w:val="0"/>
            <w:vAlign w:val="center"/>
          </w:tcPr>
          <w:p w14:paraId="638A4DD5">
            <w:pPr>
              <w:widowControl/>
              <w:jc w:val="center"/>
              <w:rPr>
                <w:rFonts w:ascii="仿宋" w:hAnsi="仿宋" w:eastAsia="仿宋" w:cs="宋体"/>
                <w:color w:val="000000"/>
                <w:kern w:val="0"/>
                <w:sz w:val="24"/>
                <w:szCs w:val="20"/>
              </w:rPr>
            </w:pPr>
          </w:p>
        </w:tc>
      </w:tr>
      <w:tr w14:paraId="11E67DC5">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90B2DF6">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1</w:t>
            </w:r>
            <w:r>
              <w:rPr>
                <w:rFonts w:hint="eastAsia" w:ascii="楷体_GB2312" w:hAnsi="楷体" w:eastAsia="楷体_GB2312"/>
                <w:bCs/>
                <w:sz w:val="24"/>
              </w:rPr>
              <w:t xml:space="preserve">能引导幼儿建立班级的秩序与规则。 </w:t>
            </w:r>
          </w:p>
        </w:tc>
        <w:tc>
          <w:tcPr>
            <w:tcW w:w="859" w:type="dxa"/>
            <w:tcBorders>
              <w:top w:val="nil"/>
              <w:left w:val="single" w:color="auto" w:sz="4" w:space="0"/>
              <w:bottom w:val="single" w:color="auto" w:sz="4" w:space="0"/>
              <w:right w:val="single" w:color="auto" w:sz="4" w:space="0"/>
            </w:tcBorders>
            <w:noWrap w:val="0"/>
            <w:vAlign w:val="center"/>
          </w:tcPr>
          <w:p w14:paraId="69ED385B">
            <w:pPr>
              <w:widowControl/>
              <w:jc w:val="center"/>
              <w:rPr>
                <w:rFonts w:ascii="仿宋" w:hAnsi="仿宋" w:eastAsia="仿宋" w:cs="宋体"/>
                <w:color w:val="000000"/>
                <w:kern w:val="0"/>
                <w:sz w:val="24"/>
                <w:szCs w:val="20"/>
              </w:rPr>
            </w:pPr>
          </w:p>
        </w:tc>
      </w:tr>
      <w:tr w14:paraId="35D47DC9">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6C497FE0">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XQ312</w:t>
            </w:r>
            <w:r>
              <w:rPr>
                <w:rFonts w:hint="eastAsia" w:ascii="楷体_GB2312" w:hAnsi="楷体" w:eastAsia="楷体_GB2312"/>
                <w:bCs/>
                <w:sz w:val="24"/>
              </w:rPr>
              <w:t>能营造愉悦、尊重、平等、积极的班级氛围。</w:t>
            </w:r>
          </w:p>
        </w:tc>
        <w:tc>
          <w:tcPr>
            <w:tcW w:w="859" w:type="dxa"/>
            <w:tcBorders>
              <w:top w:val="nil"/>
              <w:left w:val="single" w:color="auto" w:sz="4" w:space="0"/>
              <w:bottom w:val="single" w:color="auto" w:sz="4" w:space="0"/>
              <w:right w:val="single" w:color="auto" w:sz="4" w:space="0"/>
            </w:tcBorders>
            <w:noWrap w:val="0"/>
            <w:vAlign w:val="center"/>
          </w:tcPr>
          <w:p w14:paraId="40EFE05F">
            <w:pPr>
              <w:widowControl/>
              <w:jc w:val="center"/>
              <w:rPr>
                <w:rFonts w:ascii="仿宋" w:hAnsi="仿宋" w:eastAsia="仿宋" w:cs="宋体"/>
                <w:color w:val="000000"/>
                <w:kern w:val="0"/>
                <w:sz w:val="24"/>
                <w:szCs w:val="20"/>
              </w:rPr>
            </w:pPr>
          </w:p>
        </w:tc>
      </w:tr>
      <w:tr w14:paraId="7F24DE7A">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11D2DBF">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XQ313</w:t>
            </w:r>
            <w:r>
              <w:rPr>
                <w:rFonts w:hint="eastAsia" w:ascii="楷体_GB2312" w:hAnsi="楷体" w:eastAsia="楷体_GB2312"/>
                <w:bCs/>
                <w:sz w:val="24"/>
              </w:rPr>
              <w:t>有以班级为纽带调动家庭和社区资源的意识和能力。</w:t>
            </w:r>
          </w:p>
        </w:tc>
        <w:tc>
          <w:tcPr>
            <w:tcW w:w="859" w:type="dxa"/>
            <w:tcBorders>
              <w:top w:val="nil"/>
              <w:left w:val="single" w:color="auto" w:sz="4" w:space="0"/>
              <w:bottom w:val="single" w:color="auto" w:sz="4" w:space="0"/>
              <w:right w:val="single" w:color="auto" w:sz="4" w:space="0"/>
            </w:tcBorders>
            <w:noWrap w:val="0"/>
            <w:vAlign w:val="center"/>
          </w:tcPr>
          <w:p w14:paraId="6D714216">
            <w:pPr>
              <w:widowControl/>
              <w:jc w:val="center"/>
              <w:rPr>
                <w:rFonts w:ascii="仿宋" w:hAnsi="仿宋" w:eastAsia="仿宋" w:cs="宋体"/>
                <w:color w:val="000000"/>
                <w:kern w:val="0"/>
                <w:sz w:val="24"/>
                <w:szCs w:val="20"/>
              </w:rPr>
            </w:pPr>
          </w:p>
        </w:tc>
      </w:tr>
      <w:tr w14:paraId="21CADC85">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5069DEEE">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859" w:type="dxa"/>
            <w:tcBorders>
              <w:top w:val="nil"/>
              <w:left w:val="single" w:color="auto" w:sz="4" w:space="0"/>
              <w:bottom w:val="single" w:color="auto" w:sz="4" w:space="0"/>
              <w:right w:val="single" w:color="auto" w:sz="4" w:space="0"/>
            </w:tcBorders>
            <w:noWrap w:val="0"/>
            <w:vAlign w:val="center"/>
          </w:tcPr>
          <w:p w14:paraId="178D97A1">
            <w:pPr>
              <w:widowControl/>
              <w:jc w:val="center"/>
              <w:rPr>
                <w:rFonts w:ascii="仿宋" w:hAnsi="仿宋" w:eastAsia="仿宋" w:cs="宋体"/>
                <w:color w:val="000000"/>
                <w:kern w:val="0"/>
                <w:sz w:val="24"/>
                <w:szCs w:val="20"/>
              </w:rPr>
            </w:pPr>
          </w:p>
        </w:tc>
      </w:tr>
      <w:tr w14:paraId="4C103F95">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648660C">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859" w:type="dxa"/>
            <w:tcBorders>
              <w:top w:val="nil"/>
              <w:left w:val="single" w:color="auto" w:sz="4" w:space="0"/>
              <w:bottom w:val="single" w:color="auto" w:sz="4" w:space="0"/>
              <w:right w:val="single" w:color="auto" w:sz="4" w:space="0"/>
            </w:tcBorders>
            <w:noWrap w:val="0"/>
            <w:vAlign w:val="center"/>
          </w:tcPr>
          <w:p w14:paraId="1A07254A">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1AD1FB47">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5FF483F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XQ323</w:t>
            </w:r>
            <w:r>
              <w:rPr>
                <w:rFonts w:hint="eastAsia" w:ascii="楷体_GB2312" w:hAnsi="楷体" w:eastAsia="楷体_GB2312"/>
                <w:bCs/>
                <w:sz w:val="24"/>
              </w:rPr>
              <w:t>具有整合幼儿园、家庭与社区资源的能力。</w:t>
            </w:r>
          </w:p>
        </w:tc>
        <w:tc>
          <w:tcPr>
            <w:tcW w:w="859" w:type="dxa"/>
            <w:tcBorders>
              <w:top w:val="nil"/>
              <w:left w:val="single" w:color="auto" w:sz="4" w:space="0"/>
              <w:bottom w:val="single" w:color="auto" w:sz="4" w:space="0"/>
              <w:right w:val="single" w:color="auto" w:sz="4" w:space="0"/>
            </w:tcBorders>
            <w:noWrap w:val="0"/>
            <w:vAlign w:val="center"/>
          </w:tcPr>
          <w:p w14:paraId="7B72FA5E">
            <w:pPr>
              <w:widowControl/>
              <w:jc w:val="center"/>
              <w:rPr>
                <w:rFonts w:ascii="仿宋" w:hAnsi="仿宋" w:eastAsia="仿宋" w:cs="宋体"/>
                <w:color w:val="000000"/>
                <w:kern w:val="0"/>
                <w:sz w:val="24"/>
                <w:szCs w:val="20"/>
              </w:rPr>
            </w:pPr>
          </w:p>
        </w:tc>
      </w:tr>
      <w:tr w14:paraId="04206FB3">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5B2A08A">
            <w:pPr>
              <w:tabs>
                <w:tab w:val="left" w:pos="4200"/>
              </w:tabs>
              <w:adjustRightInd w:val="0"/>
              <w:snapToGrid w:val="0"/>
              <w:spacing w:line="264" w:lineRule="auto"/>
              <w:outlineLvl w:val="1"/>
              <w:rPr>
                <w:rFonts w:ascii="楷体_GB2312" w:hAnsi="楷体" w:eastAsia="楷体_GB2312"/>
                <w:bCs/>
                <w:sz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859" w:type="dxa"/>
            <w:tcBorders>
              <w:top w:val="nil"/>
              <w:left w:val="single" w:color="auto" w:sz="4" w:space="0"/>
              <w:bottom w:val="single" w:color="auto" w:sz="4" w:space="0"/>
              <w:right w:val="single" w:color="auto" w:sz="4" w:space="0"/>
            </w:tcBorders>
            <w:noWrap w:val="0"/>
            <w:vAlign w:val="center"/>
          </w:tcPr>
          <w:p w14:paraId="361AF231">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59B89D2C">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51BCA21">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859" w:type="dxa"/>
            <w:tcBorders>
              <w:top w:val="nil"/>
              <w:left w:val="single" w:color="auto" w:sz="4" w:space="0"/>
              <w:bottom w:val="single" w:color="auto" w:sz="4" w:space="0"/>
              <w:right w:val="single" w:color="auto" w:sz="4" w:space="0"/>
            </w:tcBorders>
            <w:noWrap w:val="0"/>
            <w:vAlign w:val="center"/>
          </w:tcPr>
          <w:p w14:paraId="6543AB95">
            <w:pPr>
              <w:widowControl/>
              <w:jc w:val="center"/>
              <w:rPr>
                <w:color w:val="000000"/>
                <w:kern w:val="0"/>
                <w:sz w:val="20"/>
                <w:szCs w:val="20"/>
              </w:rPr>
            </w:pPr>
            <w:r>
              <w:rPr>
                <w:color w:val="000000"/>
                <w:kern w:val="0"/>
                <w:sz w:val="20"/>
                <w:szCs w:val="20"/>
              </w:rPr>
              <w:sym w:font="Wingdings 2" w:char="F098"/>
            </w:r>
          </w:p>
        </w:tc>
      </w:tr>
      <w:tr w14:paraId="7DE9F290">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6CAF9E6">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XQ413</w:t>
            </w:r>
            <w:r>
              <w:rPr>
                <w:rFonts w:hint="eastAsia" w:ascii="楷体_GB2312" w:hAnsi="楷体" w:eastAsia="楷体_GB2312"/>
                <w:bCs/>
                <w:sz w:val="24"/>
              </w:rPr>
              <w:t>具有创造性解决问题的意识与能力。</w:t>
            </w:r>
          </w:p>
        </w:tc>
        <w:tc>
          <w:tcPr>
            <w:tcW w:w="859" w:type="dxa"/>
            <w:tcBorders>
              <w:top w:val="nil"/>
              <w:left w:val="single" w:color="auto" w:sz="4" w:space="0"/>
              <w:bottom w:val="single" w:color="auto" w:sz="4" w:space="0"/>
              <w:right w:val="single" w:color="auto" w:sz="4" w:space="0"/>
            </w:tcBorders>
            <w:noWrap w:val="0"/>
            <w:vAlign w:val="center"/>
          </w:tcPr>
          <w:p w14:paraId="4D8A1122">
            <w:pPr>
              <w:widowControl/>
              <w:jc w:val="center"/>
              <w:rPr>
                <w:color w:val="000000"/>
                <w:kern w:val="0"/>
                <w:sz w:val="20"/>
                <w:szCs w:val="20"/>
              </w:rPr>
            </w:pPr>
          </w:p>
        </w:tc>
      </w:tr>
      <w:tr w14:paraId="70A08079">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128C2D13">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XQ42</w:t>
            </w:r>
            <w:r>
              <w:rPr>
                <w:rFonts w:hint="eastAsia" w:ascii="仿宋" w:hAnsi="仿宋" w:eastAsia="仿宋" w:cs="宋体"/>
                <w:color w:val="000000"/>
                <w:kern w:val="0"/>
                <w:sz w:val="24"/>
                <w:szCs w:val="24"/>
              </w:rPr>
              <w:t>1</w:t>
            </w:r>
            <w:r>
              <w:rPr>
                <w:rFonts w:hint="eastAsia" w:ascii="楷体_GB2312" w:hAnsi="楷体" w:eastAsia="楷体_GB2312"/>
                <w:bCs/>
                <w:sz w:val="24"/>
              </w:rPr>
              <w:t>有参与国际教育交流的意识和能力。</w:t>
            </w:r>
          </w:p>
        </w:tc>
        <w:tc>
          <w:tcPr>
            <w:tcW w:w="859" w:type="dxa"/>
            <w:tcBorders>
              <w:top w:val="nil"/>
              <w:left w:val="single" w:color="auto" w:sz="4" w:space="0"/>
              <w:bottom w:val="single" w:color="auto" w:sz="4" w:space="0"/>
              <w:right w:val="single" w:color="auto" w:sz="4" w:space="0"/>
            </w:tcBorders>
            <w:noWrap w:val="0"/>
            <w:vAlign w:val="center"/>
          </w:tcPr>
          <w:p w14:paraId="3A2AF7DA">
            <w:pPr>
              <w:widowControl/>
              <w:jc w:val="center"/>
              <w:rPr>
                <w:rFonts w:ascii="仿宋" w:hAnsi="仿宋" w:eastAsia="仿宋" w:cs="宋体"/>
                <w:color w:val="000000"/>
                <w:kern w:val="0"/>
                <w:sz w:val="24"/>
                <w:szCs w:val="20"/>
              </w:rPr>
            </w:pPr>
          </w:p>
        </w:tc>
      </w:tr>
      <w:tr w14:paraId="1691ACEC">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45F6CA25">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859" w:type="dxa"/>
            <w:tcBorders>
              <w:top w:val="nil"/>
              <w:left w:val="single" w:color="auto" w:sz="4" w:space="0"/>
              <w:bottom w:val="single" w:color="auto" w:sz="4" w:space="0"/>
              <w:right w:val="single" w:color="auto" w:sz="4" w:space="0"/>
            </w:tcBorders>
            <w:noWrap w:val="0"/>
            <w:vAlign w:val="center"/>
          </w:tcPr>
          <w:p w14:paraId="1B3BF744">
            <w:pPr>
              <w:widowControl/>
              <w:jc w:val="center"/>
              <w:rPr>
                <w:color w:val="000000"/>
                <w:kern w:val="0"/>
                <w:sz w:val="20"/>
                <w:szCs w:val="20"/>
              </w:rPr>
            </w:pPr>
          </w:p>
        </w:tc>
      </w:tr>
      <w:tr w14:paraId="34D654A7">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304878D">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XQ423</w:t>
            </w:r>
            <w:r>
              <w:rPr>
                <w:rFonts w:hint="eastAsia" w:ascii="楷体_GB2312" w:hAnsi="楷体" w:eastAsia="楷体_GB2312"/>
                <w:bCs/>
                <w:sz w:val="24"/>
              </w:rPr>
              <w:t>有分析和借鉴国际教育理念与实践的能力。</w:t>
            </w:r>
          </w:p>
        </w:tc>
        <w:tc>
          <w:tcPr>
            <w:tcW w:w="859" w:type="dxa"/>
            <w:tcBorders>
              <w:top w:val="nil"/>
              <w:left w:val="single" w:color="auto" w:sz="4" w:space="0"/>
              <w:bottom w:val="single" w:color="auto" w:sz="4" w:space="0"/>
              <w:right w:val="single" w:color="auto" w:sz="4" w:space="0"/>
            </w:tcBorders>
            <w:noWrap w:val="0"/>
            <w:vAlign w:val="center"/>
          </w:tcPr>
          <w:p w14:paraId="327070CE">
            <w:pPr>
              <w:widowControl/>
              <w:jc w:val="center"/>
              <w:rPr>
                <w:color w:val="000000"/>
                <w:kern w:val="0"/>
                <w:sz w:val="20"/>
                <w:szCs w:val="20"/>
              </w:rPr>
            </w:pPr>
            <w:r>
              <w:rPr>
                <w:rFonts w:hint="eastAsia"/>
                <w:color w:val="000000"/>
                <w:kern w:val="0"/>
                <w:sz w:val="20"/>
                <w:szCs w:val="20"/>
              </w:rPr>
              <w:t xml:space="preserve"> </w:t>
            </w:r>
          </w:p>
        </w:tc>
      </w:tr>
      <w:tr w14:paraId="576B8F1C">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734B9665">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XQ43</w:t>
            </w:r>
            <w:r>
              <w:rPr>
                <w:rFonts w:hint="eastAsia" w:ascii="仿宋" w:hAnsi="仿宋" w:eastAsia="仿宋" w:cs="宋体"/>
                <w:color w:val="000000"/>
                <w:kern w:val="0"/>
                <w:sz w:val="24"/>
                <w:szCs w:val="24"/>
              </w:rPr>
              <w:t>1</w:t>
            </w:r>
            <w:r>
              <w:rPr>
                <w:rFonts w:hint="eastAsia" w:ascii="楷体_GB2312" w:hAnsi="楷体" w:eastAsia="楷体_GB2312"/>
                <w:bCs/>
                <w:sz w:val="24"/>
              </w:rPr>
              <w:t>具有团队协作精神，认同学习共同体的价值。</w:t>
            </w:r>
          </w:p>
        </w:tc>
        <w:tc>
          <w:tcPr>
            <w:tcW w:w="859" w:type="dxa"/>
            <w:tcBorders>
              <w:top w:val="nil"/>
              <w:left w:val="single" w:color="auto" w:sz="4" w:space="0"/>
              <w:bottom w:val="single" w:color="auto" w:sz="4" w:space="0"/>
              <w:right w:val="single" w:color="auto" w:sz="4" w:space="0"/>
            </w:tcBorders>
            <w:noWrap w:val="0"/>
            <w:vAlign w:val="center"/>
          </w:tcPr>
          <w:p w14:paraId="3775A255">
            <w:pPr>
              <w:widowControl/>
              <w:jc w:val="center"/>
              <w:rPr>
                <w:rFonts w:ascii="仿宋" w:hAnsi="仿宋" w:eastAsia="仿宋" w:cs="宋体"/>
                <w:color w:val="000000"/>
                <w:kern w:val="0"/>
                <w:sz w:val="24"/>
                <w:szCs w:val="20"/>
              </w:rPr>
            </w:pPr>
          </w:p>
        </w:tc>
      </w:tr>
      <w:tr w14:paraId="267CDFF3">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07863787">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XQ432</w:t>
            </w:r>
            <w:r>
              <w:rPr>
                <w:rFonts w:hint="eastAsia" w:ascii="楷体_GB2312" w:hAnsi="楷体" w:eastAsia="楷体_GB2312"/>
                <w:bCs/>
                <w:sz w:val="24"/>
              </w:rPr>
              <w:t>掌握沟通合作的技能。</w:t>
            </w:r>
          </w:p>
        </w:tc>
        <w:tc>
          <w:tcPr>
            <w:tcW w:w="859" w:type="dxa"/>
            <w:tcBorders>
              <w:top w:val="nil"/>
              <w:left w:val="single" w:color="auto" w:sz="4" w:space="0"/>
              <w:bottom w:val="single" w:color="auto" w:sz="4" w:space="0"/>
              <w:right w:val="single" w:color="auto" w:sz="4" w:space="0"/>
            </w:tcBorders>
            <w:noWrap w:val="0"/>
            <w:vAlign w:val="center"/>
          </w:tcPr>
          <w:p w14:paraId="6ECCFF88">
            <w:pPr>
              <w:widowControl/>
              <w:jc w:val="center"/>
              <w:rPr>
                <w:rFonts w:ascii="仿宋" w:hAnsi="仿宋" w:eastAsia="仿宋" w:cs="宋体"/>
                <w:color w:val="000000"/>
                <w:kern w:val="0"/>
                <w:sz w:val="24"/>
                <w:szCs w:val="20"/>
              </w:rPr>
            </w:pPr>
          </w:p>
        </w:tc>
      </w:tr>
      <w:tr w14:paraId="2005FA48">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14:paraId="24862BD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Q433</w:t>
            </w:r>
            <w:r>
              <w:rPr>
                <w:rFonts w:hint="eastAsia" w:ascii="楷体_GB2312" w:hAnsi="楷体" w:eastAsia="楷体_GB2312"/>
                <w:bCs/>
                <w:sz w:val="24"/>
              </w:rPr>
              <w:t>有参与、组织专业团队开展合作学习的意识和能力。</w:t>
            </w:r>
          </w:p>
        </w:tc>
        <w:tc>
          <w:tcPr>
            <w:tcW w:w="859" w:type="dxa"/>
            <w:tcBorders>
              <w:top w:val="nil"/>
              <w:left w:val="single" w:color="auto" w:sz="4" w:space="0"/>
              <w:bottom w:val="single" w:color="auto" w:sz="4" w:space="0"/>
              <w:right w:val="single" w:color="auto" w:sz="4" w:space="0"/>
            </w:tcBorders>
            <w:noWrap w:val="0"/>
            <w:vAlign w:val="center"/>
          </w:tcPr>
          <w:p w14:paraId="74D96F07">
            <w:pPr>
              <w:widowControl/>
              <w:jc w:val="center"/>
              <w:rPr>
                <w:rFonts w:ascii="仿宋" w:hAnsi="仿宋" w:eastAsia="仿宋" w:cs="宋体"/>
                <w:color w:val="000000"/>
                <w:kern w:val="0"/>
                <w:sz w:val="24"/>
                <w:szCs w:val="20"/>
              </w:rPr>
            </w:pPr>
          </w:p>
        </w:tc>
      </w:tr>
    </w:tbl>
    <w:p w14:paraId="580A436C">
      <w:pPr>
        <w:ind w:firstLine="420" w:firstLineChars="200"/>
      </w:pPr>
      <w:r>
        <w:rPr>
          <w:rFonts w:hint="eastAsia"/>
        </w:rPr>
        <w:t>备注</w:t>
      </w:r>
      <w:r>
        <w:rPr>
          <w:rFonts w:hint="eastAsia"/>
          <w:lang w:val="en-US" w:eastAsia="zh-CN"/>
        </w:rPr>
        <w:t>XQ=学前教育</w:t>
      </w:r>
    </w:p>
    <w:p w14:paraId="0E27805F">
      <w:pPr>
        <w:widowControl/>
        <w:spacing w:beforeLines="50" w:afterLines="50" w:line="288" w:lineRule="auto"/>
        <w:ind w:firstLine="360" w:firstLineChars="150"/>
        <w:jc w:val="left"/>
        <w:rPr>
          <w:rFonts w:hint="eastAsia"/>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1654" w:tblpY="152"/>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262"/>
        <w:gridCol w:w="3009"/>
        <w:gridCol w:w="1486"/>
        <w:gridCol w:w="1623"/>
      </w:tblGrid>
      <w:tr w14:paraId="131AEC6F">
        <w:tc>
          <w:tcPr>
            <w:tcW w:w="688" w:type="dxa"/>
            <w:shd w:val="clear" w:color="auto" w:fill="auto"/>
          </w:tcPr>
          <w:p w14:paraId="54BF846E">
            <w:pPr>
              <w:snapToGrid w:val="0"/>
              <w:spacing w:line="288" w:lineRule="auto"/>
              <w:jc w:val="center"/>
              <w:rPr>
                <w:b/>
                <w:color w:val="000000"/>
                <w:sz w:val="20"/>
                <w:szCs w:val="20"/>
              </w:rPr>
            </w:pPr>
            <w:r>
              <w:rPr>
                <w:rFonts w:hint="eastAsia"/>
                <w:b/>
                <w:color w:val="000000"/>
                <w:sz w:val="20"/>
                <w:szCs w:val="20"/>
              </w:rPr>
              <w:t>序号</w:t>
            </w:r>
          </w:p>
        </w:tc>
        <w:tc>
          <w:tcPr>
            <w:tcW w:w="2262" w:type="dxa"/>
            <w:shd w:val="clear" w:color="auto" w:fill="auto"/>
          </w:tcPr>
          <w:p w14:paraId="6F2FD246">
            <w:pPr>
              <w:snapToGrid w:val="0"/>
              <w:spacing w:line="288" w:lineRule="auto"/>
              <w:jc w:val="center"/>
              <w:rPr>
                <w:b/>
                <w:color w:val="000000"/>
                <w:sz w:val="20"/>
                <w:szCs w:val="20"/>
              </w:rPr>
            </w:pPr>
            <w:r>
              <w:rPr>
                <w:rFonts w:hint="eastAsia"/>
                <w:b/>
                <w:color w:val="000000"/>
                <w:sz w:val="20"/>
                <w:szCs w:val="20"/>
              </w:rPr>
              <w:t>课程预期</w:t>
            </w:r>
          </w:p>
          <w:p w14:paraId="52218E99">
            <w:pPr>
              <w:snapToGrid w:val="0"/>
              <w:spacing w:line="288" w:lineRule="auto"/>
              <w:jc w:val="center"/>
              <w:rPr>
                <w:b/>
                <w:color w:val="000000"/>
                <w:sz w:val="20"/>
                <w:szCs w:val="20"/>
              </w:rPr>
            </w:pPr>
            <w:r>
              <w:rPr>
                <w:rFonts w:hint="eastAsia"/>
                <w:b/>
                <w:color w:val="000000"/>
                <w:sz w:val="20"/>
                <w:szCs w:val="20"/>
              </w:rPr>
              <w:t>学习成果</w:t>
            </w:r>
          </w:p>
        </w:tc>
        <w:tc>
          <w:tcPr>
            <w:tcW w:w="3009" w:type="dxa"/>
            <w:shd w:val="clear" w:color="auto" w:fill="auto"/>
            <w:vAlign w:val="center"/>
          </w:tcPr>
          <w:p w14:paraId="56AF8B7D">
            <w:pPr>
              <w:snapToGrid w:val="0"/>
              <w:spacing w:line="288" w:lineRule="auto"/>
              <w:jc w:val="center"/>
              <w:rPr>
                <w:b/>
                <w:color w:val="000000"/>
                <w:sz w:val="20"/>
                <w:szCs w:val="20"/>
                <w:highlight w:val="yellow"/>
              </w:rPr>
            </w:pPr>
            <w:r>
              <w:rPr>
                <w:rFonts w:hint="eastAsia"/>
                <w:b/>
                <w:color w:val="000000"/>
                <w:sz w:val="20"/>
                <w:szCs w:val="20"/>
              </w:rPr>
              <w:t>课程目标</w:t>
            </w:r>
          </w:p>
          <w:p w14:paraId="39812210">
            <w:pPr>
              <w:snapToGrid w:val="0"/>
              <w:spacing w:line="288" w:lineRule="auto"/>
              <w:jc w:val="center"/>
              <w:rPr>
                <w:b/>
                <w:color w:val="000000"/>
                <w:sz w:val="20"/>
                <w:szCs w:val="20"/>
              </w:rPr>
            </w:pPr>
            <w:r>
              <w:rPr>
                <w:rFonts w:hint="eastAsia"/>
                <w:b/>
                <w:color w:val="000000"/>
                <w:sz w:val="20"/>
                <w:szCs w:val="20"/>
              </w:rPr>
              <w:t>（细化的预期学习成果）</w:t>
            </w:r>
          </w:p>
        </w:tc>
        <w:tc>
          <w:tcPr>
            <w:tcW w:w="1486" w:type="dxa"/>
            <w:shd w:val="clear" w:color="auto" w:fill="auto"/>
            <w:vAlign w:val="center"/>
          </w:tcPr>
          <w:p w14:paraId="1C6669D6">
            <w:pPr>
              <w:snapToGrid w:val="0"/>
              <w:spacing w:line="288" w:lineRule="auto"/>
              <w:jc w:val="center"/>
              <w:rPr>
                <w:b/>
                <w:color w:val="000000"/>
                <w:sz w:val="20"/>
                <w:szCs w:val="20"/>
              </w:rPr>
            </w:pPr>
            <w:r>
              <w:rPr>
                <w:rFonts w:hint="eastAsia"/>
                <w:b/>
                <w:color w:val="000000"/>
                <w:sz w:val="20"/>
                <w:szCs w:val="20"/>
              </w:rPr>
              <w:t>教与学方式</w:t>
            </w:r>
          </w:p>
        </w:tc>
        <w:tc>
          <w:tcPr>
            <w:tcW w:w="1623" w:type="dxa"/>
            <w:shd w:val="clear" w:color="auto" w:fill="auto"/>
            <w:vAlign w:val="center"/>
          </w:tcPr>
          <w:p w14:paraId="29A52A8B">
            <w:pPr>
              <w:snapToGrid w:val="0"/>
              <w:spacing w:line="288" w:lineRule="auto"/>
              <w:jc w:val="center"/>
              <w:rPr>
                <w:b/>
                <w:color w:val="000000"/>
                <w:sz w:val="20"/>
                <w:szCs w:val="20"/>
              </w:rPr>
            </w:pPr>
            <w:r>
              <w:rPr>
                <w:rFonts w:hint="eastAsia"/>
                <w:b/>
                <w:color w:val="000000"/>
                <w:sz w:val="20"/>
                <w:szCs w:val="20"/>
              </w:rPr>
              <w:t>评价方式</w:t>
            </w:r>
          </w:p>
        </w:tc>
      </w:tr>
      <w:tr w14:paraId="323CCE1D">
        <w:tc>
          <w:tcPr>
            <w:tcW w:w="688" w:type="dxa"/>
            <w:shd w:val="clear" w:color="auto" w:fill="auto"/>
          </w:tcPr>
          <w:p w14:paraId="561AB77C">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2262" w:type="dxa"/>
            <w:shd w:val="clear" w:color="auto" w:fill="auto"/>
            <w:vAlign w:val="center"/>
          </w:tcPr>
          <w:p w14:paraId="37D64197">
            <w:pPr>
              <w:rPr>
                <w:rFonts w:ascii="仿宋" w:hAnsi="仿宋" w:eastAsia="仿宋" w:cs="宋体"/>
                <w:color w:val="000000"/>
                <w:kern w:val="0"/>
                <w:sz w:val="24"/>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增强专业认同感和使命感。</w:t>
            </w:r>
          </w:p>
        </w:tc>
        <w:tc>
          <w:tcPr>
            <w:tcW w:w="3009" w:type="dxa"/>
            <w:shd w:val="clear" w:color="auto" w:fill="auto"/>
          </w:tcPr>
          <w:p w14:paraId="4D36480B">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理解教师工作的意义和价值</w:t>
            </w:r>
          </w:p>
        </w:tc>
        <w:tc>
          <w:tcPr>
            <w:tcW w:w="1486" w:type="dxa"/>
            <w:shd w:val="clear" w:color="auto" w:fill="auto"/>
          </w:tcPr>
          <w:p w14:paraId="6802F8EB">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w:t>
            </w:r>
          </w:p>
          <w:p w14:paraId="362DF35F">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共同讨论</w:t>
            </w:r>
          </w:p>
        </w:tc>
        <w:tc>
          <w:tcPr>
            <w:tcW w:w="1623" w:type="dxa"/>
            <w:shd w:val="clear" w:color="auto" w:fill="auto"/>
          </w:tcPr>
          <w:p w14:paraId="3719B783">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021FDEEA">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期末随堂考</w:t>
            </w:r>
          </w:p>
        </w:tc>
      </w:tr>
      <w:tr w14:paraId="050FD170">
        <w:tc>
          <w:tcPr>
            <w:tcW w:w="688" w:type="dxa"/>
            <w:shd w:val="clear" w:color="auto" w:fill="auto"/>
            <w:vAlign w:val="top"/>
          </w:tcPr>
          <w:p w14:paraId="6D32566D">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2</w:t>
            </w:r>
          </w:p>
        </w:tc>
        <w:tc>
          <w:tcPr>
            <w:tcW w:w="2262" w:type="dxa"/>
            <w:shd w:val="clear" w:color="auto" w:fill="auto"/>
            <w:vAlign w:val="top"/>
          </w:tcPr>
          <w:p w14:paraId="0CB89D11">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3009" w:type="dxa"/>
            <w:shd w:val="clear" w:color="auto" w:fill="auto"/>
          </w:tcPr>
          <w:p w14:paraId="1BC3E01C">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掌握早教机构运营管理的原则、内容与要求、途径与方法，引领学生探讨早教机构运营管理基本方法.</w:t>
            </w:r>
          </w:p>
        </w:tc>
        <w:tc>
          <w:tcPr>
            <w:tcW w:w="1486" w:type="dxa"/>
            <w:shd w:val="clear" w:color="auto" w:fill="auto"/>
          </w:tcPr>
          <w:p w14:paraId="5DB2A32A">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14:paraId="666E0371">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学生参与</w:t>
            </w:r>
          </w:p>
        </w:tc>
        <w:tc>
          <w:tcPr>
            <w:tcW w:w="1623" w:type="dxa"/>
            <w:shd w:val="clear" w:color="auto" w:fill="auto"/>
          </w:tcPr>
          <w:p w14:paraId="7ABAC845">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41D6773B">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期末随堂考</w:t>
            </w:r>
          </w:p>
        </w:tc>
      </w:tr>
      <w:tr w14:paraId="2AB2358F">
        <w:tc>
          <w:tcPr>
            <w:tcW w:w="688" w:type="dxa"/>
            <w:shd w:val="clear" w:color="auto" w:fill="auto"/>
            <w:vAlign w:val="top"/>
          </w:tcPr>
          <w:p w14:paraId="634C8F09">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3</w:t>
            </w:r>
          </w:p>
        </w:tc>
        <w:tc>
          <w:tcPr>
            <w:tcW w:w="2262" w:type="dxa"/>
            <w:shd w:val="clear" w:color="auto" w:fill="auto"/>
            <w:vAlign w:val="top"/>
          </w:tcPr>
          <w:p w14:paraId="2DF67AB6">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3009" w:type="dxa"/>
            <w:shd w:val="clear" w:color="auto" w:fill="auto"/>
          </w:tcPr>
          <w:p w14:paraId="715C7196">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理解课程目标、课程内容的确定依据、课程组织的原则与形式、课程质量评价的原则与方法。</w:t>
            </w:r>
          </w:p>
        </w:tc>
        <w:tc>
          <w:tcPr>
            <w:tcW w:w="1486" w:type="dxa"/>
            <w:shd w:val="clear" w:color="auto" w:fill="auto"/>
            <w:vAlign w:val="top"/>
          </w:tcPr>
          <w:p w14:paraId="617B8643">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14:paraId="66C30B3C">
            <w:pPr>
              <w:snapToGrid w:val="0"/>
              <w:spacing w:line="288" w:lineRule="auto"/>
              <w:jc w:val="center"/>
              <w:rPr>
                <w:rFonts w:hint="eastAsia" w:ascii="黑体" w:hAnsi="宋体" w:eastAsia="黑体" w:cs="Times New Roman"/>
                <w:kern w:val="2"/>
                <w:sz w:val="24"/>
                <w:szCs w:val="22"/>
                <w:lang w:val="en-US" w:eastAsia="zh-CN" w:bidi="ar-SA"/>
              </w:rPr>
            </w:pPr>
            <w:r>
              <w:rPr>
                <w:rFonts w:hint="eastAsia" w:ascii="黑体" w:hAnsi="宋体" w:eastAsia="黑体"/>
                <w:sz w:val="24"/>
                <w:lang w:val="en-US" w:eastAsia="zh-CN"/>
              </w:rPr>
              <w:t>学生参与</w:t>
            </w:r>
          </w:p>
        </w:tc>
        <w:tc>
          <w:tcPr>
            <w:tcW w:w="1623" w:type="dxa"/>
            <w:shd w:val="clear" w:color="auto" w:fill="auto"/>
            <w:vAlign w:val="top"/>
          </w:tcPr>
          <w:p w14:paraId="2F409C43">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0EB2050A">
            <w:pPr>
              <w:snapToGrid w:val="0"/>
              <w:spacing w:line="288" w:lineRule="auto"/>
              <w:jc w:val="center"/>
              <w:rPr>
                <w:rFonts w:hint="eastAsia" w:ascii="黑体" w:hAnsi="宋体" w:eastAsia="黑体" w:cs="Times New Roman"/>
                <w:kern w:val="2"/>
                <w:sz w:val="24"/>
                <w:szCs w:val="22"/>
                <w:lang w:val="en-US" w:eastAsia="zh-CN" w:bidi="ar-SA"/>
              </w:rPr>
            </w:pPr>
            <w:r>
              <w:rPr>
                <w:rFonts w:hint="eastAsia" w:ascii="黑体" w:hAnsi="宋体" w:eastAsia="黑体"/>
                <w:sz w:val="24"/>
                <w:lang w:val="en-US" w:eastAsia="zh-CN"/>
              </w:rPr>
              <w:t>期末随堂考</w:t>
            </w:r>
          </w:p>
        </w:tc>
      </w:tr>
      <w:tr w14:paraId="0DEDDA5A">
        <w:tc>
          <w:tcPr>
            <w:tcW w:w="688" w:type="dxa"/>
            <w:shd w:val="clear" w:color="auto" w:fill="auto"/>
            <w:vAlign w:val="top"/>
          </w:tcPr>
          <w:p w14:paraId="20FFF003">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w:t>
            </w:r>
          </w:p>
        </w:tc>
        <w:tc>
          <w:tcPr>
            <w:tcW w:w="2262" w:type="dxa"/>
            <w:shd w:val="clear" w:color="auto" w:fill="auto"/>
            <w:vAlign w:val="top"/>
          </w:tcPr>
          <w:p w14:paraId="7DBFCF08">
            <w:pPr>
              <w:rPr>
                <w:rFonts w:hint="eastAsia" w:ascii="仿宋" w:hAnsi="仿宋" w:eastAsia="仿宋" w:cs="宋体"/>
                <w:color w:val="000000"/>
                <w:kern w:val="0"/>
                <w:sz w:val="24"/>
                <w:szCs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3009" w:type="dxa"/>
            <w:shd w:val="clear" w:color="auto" w:fill="auto"/>
          </w:tcPr>
          <w:p w14:paraId="62B125E3">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深刻分析早教机构运营管理现象和研究早教机构运营管理实际问题的能力，为学生从事教育研究工作奠定能力基础</w:t>
            </w:r>
          </w:p>
        </w:tc>
        <w:tc>
          <w:tcPr>
            <w:tcW w:w="1486" w:type="dxa"/>
            <w:shd w:val="clear" w:color="auto" w:fill="auto"/>
          </w:tcPr>
          <w:p w14:paraId="319CC165">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w:t>
            </w:r>
          </w:p>
          <w:p w14:paraId="12A1EDF6">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平时作业</w:t>
            </w:r>
          </w:p>
        </w:tc>
        <w:tc>
          <w:tcPr>
            <w:tcW w:w="1623" w:type="dxa"/>
            <w:shd w:val="clear" w:color="auto" w:fill="auto"/>
          </w:tcPr>
          <w:p w14:paraId="1B050C0D">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0C98DB12">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期末随堂考</w:t>
            </w:r>
          </w:p>
        </w:tc>
      </w:tr>
      <w:tr w14:paraId="206A596A">
        <w:tc>
          <w:tcPr>
            <w:tcW w:w="688" w:type="dxa"/>
            <w:shd w:val="clear" w:color="auto" w:fill="auto"/>
            <w:vAlign w:val="top"/>
          </w:tcPr>
          <w:p w14:paraId="7057CE75">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w:t>
            </w:r>
          </w:p>
        </w:tc>
        <w:tc>
          <w:tcPr>
            <w:tcW w:w="2262" w:type="dxa"/>
            <w:shd w:val="clear" w:color="auto" w:fill="auto"/>
            <w:vAlign w:val="top"/>
          </w:tcPr>
          <w:p w14:paraId="1CA092C1">
            <w:pPr>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3009" w:type="dxa"/>
            <w:shd w:val="clear" w:color="auto" w:fill="auto"/>
          </w:tcPr>
          <w:p w14:paraId="7144F808">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思考分析早教机构中的案例，为学生从事早教机构的工作奠定扎实的基础</w:t>
            </w:r>
          </w:p>
        </w:tc>
        <w:tc>
          <w:tcPr>
            <w:tcW w:w="1486" w:type="dxa"/>
            <w:shd w:val="clear" w:color="auto" w:fill="auto"/>
            <w:vAlign w:val="top"/>
          </w:tcPr>
          <w:p w14:paraId="1D281224">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w:t>
            </w:r>
          </w:p>
          <w:p w14:paraId="1EC7B64D">
            <w:pPr>
              <w:snapToGrid w:val="0"/>
              <w:spacing w:line="288" w:lineRule="auto"/>
              <w:jc w:val="center"/>
              <w:rPr>
                <w:rFonts w:hint="eastAsia" w:ascii="黑体" w:hAnsi="宋体" w:eastAsia="黑体" w:cs="Times New Roman"/>
                <w:kern w:val="2"/>
                <w:sz w:val="24"/>
                <w:szCs w:val="22"/>
                <w:lang w:val="en-US" w:eastAsia="zh-CN" w:bidi="ar-SA"/>
              </w:rPr>
            </w:pPr>
            <w:r>
              <w:rPr>
                <w:rFonts w:hint="eastAsia" w:ascii="黑体" w:hAnsi="宋体" w:eastAsia="黑体"/>
                <w:sz w:val="24"/>
                <w:lang w:val="en-US" w:eastAsia="zh-CN"/>
              </w:rPr>
              <w:t>平时作业</w:t>
            </w:r>
          </w:p>
        </w:tc>
        <w:tc>
          <w:tcPr>
            <w:tcW w:w="1623" w:type="dxa"/>
            <w:shd w:val="clear" w:color="auto" w:fill="auto"/>
            <w:vAlign w:val="top"/>
          </w:tcPr>
          <w:p w14:paraId="2F69C7D0">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14:paraId="2645485C">
            <w:pPr>
              <w:snapToGrid w:val="0"/>
              <w:spacing w:line="288" w:lineRule="auto"/>
              <w:jc w:val="center"/>
              <w:rPr>
                <w:rFonts w:hint="eastAsia" w:ascii="黑体" w:hAnsi="宋体" w:eastAsia="黑体" w:cs="Times New Roman"/>
                <w:kern w:val="2"/>
                <w:sz w:val="24"/>
                <w:szCs w:val="22"/>
                <w:lang w:val="en-US" w:eastAsia="zh-CN" w:bidi="ar-SA"/>
              </w:rPr>
            </w:pPr>
            <w:r>
              <w:rPr>
                <w:rFonts w:hint="eastAsia" w:ascii="黑体" w:hAnsi="宋体" w:eastAsia="黑体"/>
                <w:sz w:val="24"/>
                <w:lang w:val="en-US" w:eastAsia="zh-CN"/>
              </w:rPr>
              <w:t>期末随堂考</w:t>
            </w:r>
          </w:p>
        </w:tc>
      </w:tr>
    </w:tbl>
    <w:p w14:paraId="7F4BDBAA">
      <w:pPr>
        <w:snapToGrid w:val="0"/>
        <w:spacing w:line="288" w:lineRule="auto"/>
        <w:rPr>
          <w:rFonts w:ascii="黑体" w:hAnsi="宋体" w:eastAsia="黑体"/>
          <w:sz w:val="24"/>
        </w:rPr>
      </w:pPr>
    </w:p>
    <w:p w14:paraId="27DA25E1">
      <w:pPr>
        <w:snapToGrid w:val="0"/>
        <w:spacing w:line="288" w:lineRule="auto"/>
        <w:rPr>
          <w:rFonts w:ascii="黑体" w:hAnsi="宋体" w:eastAsia="黑体"/>
          <w:sz w:val="24"/>
        </w:rPr>
      </w:pPr>
    </w:p>
    <w:p w14:paraId="4101E210">
      <w:pPr>
        <w:snapToGrid w:val="0"/>
        <w:spacing w:line="288" w:lineRule="auto"/>
        <w:ind w:left="420" w:leftChars="200"/>
        <w:rPr>
          <w:rFonts w:ascii="黑体" w:hAnsi="宋体" w:eastAsia="黑体"/>
          <w:sz w:val="24"/>
        </w:rPr>
      </w:pPr>
    </w:p>
    <w:p w14:paraId="29092200">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14:paraId="0B265C13">
      <w:pPr>
        <w:snapToGrid w:val="0"/>
        <w:spacing w:line="288" w:lineRule="auto"/>
        <w:ind w:firstLine="400" w:firstLineChars="200"/>
        <w:rPr>
          <w:rFonts w:hint="default" w:ascii="宋体" w:hAnsi="宋体"/>
          <w:b/>
          <w:bCs/>
          <w:sz w:val="20"/>
          <w:szCs w:val="20"/>
          <w:lang w:val="en-US" w:eastAsia="zh-CN"/>
        </w:rPr>
      </w:pPr>
      <w:r>
        <w:rPr>
          <w:rFonts w:hint="eastAsia" w:ascii="宋体" w:hAnsi="宋体"/>
          <w:b/>
          <w:bCs/>
          <w:sz w:val="20"/>
          <w:szCs w:val="20"/>
          <w:lang w:val="en-US" w:eastAsia="zh-CN"/>
        </w:rPr>
        <w:t>第一单元  早教机构的运营与管理概述</w:t>
      </w:r>
    </w:p>
    <w:p w14:paraId="2CC399D4">
      <w:pPr>
        <w:numPr>
          <w:ilvl w:val="0"/>
          <w:numId w:val="1"/>
        </w:numPr>
        <w:snapToGrid w:val="0"/>
        <w:spacing w:line="288" w:lineRule="auto"/>
        <w:ind w:firstLine="400" w:firstLineChars="200"/>
        <w:rPr>
          <w:rFonts w:hint="eastAsia" w:ascii="宋体" w:hAnsi="宋体"/>
          <w:b/>
          <w:bCs/>
          <w:sz w:val="20"/>
          <w:szCs w:val="20"/>
          <w:lang w:val="en-US" w:eastAsia="zh-CN"/>
        </w:rPr>
      </w:pPr>
      <w:r>
        <w:rPr>
          <w:rFonts w:hint="eastAsia" w:ascii="宋体" w:hAnsi="宋体"/>
          <w:b/>
          <w:bCs/>
          <w:sz w:val="20"/>
          <w:szCs w:val="20"/>
          <w:lang w:val="en-US" w:eastAsia="zh-CN"/>
        </w:rPr>
        <w:t>了解教育管理的基本理论。</w:t>
      </w:r>
    </w:p>
    <w:p w14:paraId="0FB8DFBB">
      <w:pPr>
        <w:numPr>
          <w:ilvl w:val="0"/>
          <w:numId w:val="1"/>
        </w:numPr>
        <w:snapToGrid w:val="0"/>
        <w:spacing w:line="288" w:lineRule="auto"/>
        <w:ind w:firstLine="400" w:firstLineChars="200"/>
        <w:rPr>
          <w:rFonts w:hint="default" w:ascii="宋体" w:hAnsi="宋体"/>
          <w:b/>
          <w:bCs/>
          <w:sz w:val="20"/>
          <w:szCs w:val="20"/>
          <w:lang w:val="en-US" w:eastAsia="zh-CN"/>
        </w:rPr>
      </w:pPr>
      <w:r>
        <w:rPr>
          <w:rFonts w:hint="eastAsia" w:ascii="宋体" w:hAnsi="宋体"/>
          <w:b/>
          <w:bCs/>
          <w:sz w:val="20"/>
          <w:szCs w:val="20"/>
          <w:lang w:val="en-US" w:eastAsia="zh-CN"/>
        </w:rPr>
        <w:t>知道早教机构的功能与价值，早教机构对儿童的发展对孩子早期干预和智力开发的重要作用。</w:t>
      </w:r>
    </w:p>
    <w:p w14:paraId="36F80D78">
      <w:pPr>
        <w:numPr>
          <w:ilvl w:val="0"/>
          <w:numId w:val="0"/>
        </w:numPr>
        <w:snapToGrid w:val="0"/>
        <w:spacing w:line="288" w:lineRule="auto"/>
        <w:ind w:leftChars="200"/>
        <w:rPr>
          <w:rFonts w:hint="eastAsia" w:ascii="宋体" w:hAnsi="宋体"/>
          <w:b/>
          <w:bCs/>
          <w:sz w:val="20"/>
          <w:szCs w:val="20"/>
          <w:lang w:val="en-US" w:eastAsia="zh-CN"/>
        </w:rPr>
      </w:pPr>
      <w:r>
        <w:rPr>
          <w:rFonts w:hint="eastAsia" w:ascii="宋体" w:hAnsi="宋体"/>
          <w:b/>
          <w:bCs/>
          <w:sz w:val="20"/>
          <w:szCs w:val="20"/>
          <w:lang w:val="en-US" w:eastAsia="zh-CN"/>
        </w:rPr>
        <w:t>3.掌握早教机构运营管理的原则的内涵及实施要求，能运用运营管理原则解决早教机构中的管理。</w:t>
      </w:r>
    </w:p>
    <w:p w14:paraId="02330E5E">
      <w:pPr>
        <w:numPr>
          <w:ilvl w:val="0"/>
          <w:numId w:val="0"/>
        </w:numPr>
        <w:snapToGrid w:val="0"/>
        <w:spacing w:line="288" w:lineRule="auto"/>
        <w:ind w:leftChars="200"/>
        <w:rPr>
          <w:rFonts w:hint="default" w:ascii="宋体" w:hAnsi="宋体"/>
          <w:b/>
          <w:bCs/>
          <w:sz w:val="20"/>
          <w:szCs w:val="20"/>
          <w:lang w:val="en-US" w:eastAsia="zh-CN"/>
        </w:rPr>
      </w:pPr>
    </w:p>
    <w:p w14:paraId="09BB1342">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第二单元  早教机构的创办</w:t>
      </w:r>
    </w:p>
    <w:p w14:paraId="52FEC8D3">
      <w:pPr>
        <w:numPr>
          <w:ilvl w:val="0"/>
          <w:numId w:val="2"/>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了解早教机构选址的环境要求与定位要求</w:t>
      </w:r>
    </w:p>
    <w:p w14:paraId="2C5BF37D">
      <w:pPr>
        <w:numPr>
          <w:ilvl w:val="0"/>
          <w:numId w:val="2"/>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知道早教机构申办的审批程序、审批的材料。</w:t>
      </w:r>
    </w:p>
    <w:p w14:paraId="2A6B4CE7">
      <w:pPr>
        <w:numPr>
          <w:ilvl w:val="0"/>
          <w:numId w:val="2"/>
        </w:numPr>
        <w:snapToGrid w:val="0"/>
        <w:spacing w:line="288" w:lineRule="auto"/>
        <w:ind w:firstLine="420" w:firstLineChars="20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掌握早教机构招生简章中的要素，会用创新的角度掌握多种宣传的办法，多种途径对机构进行宣传。</w:t>
      </w:r>
    </w:p>
    <w:p w14:paraId="3C69D304">
      <w:pPr>
        <w:numPr>
          <w:ilvl w:val="0"/>
          <w:numId w:val="2"/>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能在教学实践中模拟早教机构申办和招生工作，为创办早教机构做好准备。</w:t>
      </w:r>
    </w:p>
    <w:p w14:paraId="72AA82CA">
      <w:pPr>
        <w:numPr>
          <w:ilvl w:val="0"/>
          <w:numId w:val="0"/>
        </w:numPr>
        <w:snapToGrid w:val="0"/>
        <w:spacing w:line="288" w:lineRule="auto"/>
        <w:rPr>
          <w:rFonts w:hint="eastAsia" w:ascii="黑体" w:hAnsi="黑体" w:eastAsia="黑体"/>
          <w:kern w:val="0"/>
          <w:sz w:val="21"/>
          <w:szCs w:val="21"/>
          <w:lang w:val="en-US" w:eastAsia="zh-CN"/>
        </w:rPr>
      </w:pPr>
    </w:p>
    <w:p w14:paraId="38F01C82">
      <w:pPr>
        <w:snapToGrid w:val="0"/>
        <w:spacing w:line="288" w:lineRule="auto"/>
        <w:ind w:firstLine="420" w:firstLineChars="20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第三单元  早教机构的人事管理</w:t>
      </w:r>
    </w:p>
    <w:p w14:paraId="66D5D171">
      <w:pPr>
        <w:numPr>
          <w:ilvl w:val="0"/>
          <w:numId w:val="3"/>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明白早教机构从业人员的从业标准</w:t>
      </w:r>
    </w:p>
    <w:p w14:paraId="07CAE3F7">
      <w:pPr>
        <w:numPr>
          <w:ilvl w:val="0"/>
          <w:numId w:val="3"/>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掌握早教机构人员的选拔原则、流程；知道教师参与培训的途径、频率；</w:t>
      </w:r>
    </w:p>
    <w:p w14:paraId="58D10FBB">
      <w:pPr>
        <w:numPr>
          <w:ilvl w:val="0"/>
          <w:numId w:val="3"/>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了解调动教师工作积极性的有效策略</w:t>
      </w:r>
    </w:p>
    <w:p w14:paraId="7248B5C1">
      <w:pPr>
        <w:numPr>
          <w:ilvl w:val="0"/>
          <w:numId w:val="3"/>
        </w:num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掌握早教机构人事管理的具体内容，能结合实际情况组织教师组织培训，并尝试模拟早教机构的人事管理。</w:t>
      </w:r>
    </w:p>
    <w:p w14:paraId="313846FD">
      <w:pPr>
        <w:numPr>
          <w:ilvl w:val="0"/>
          <w:numId w:val="0"/>
        </w:numPr>
        <w:snapToGrid w:val="0"/>
        <w:spacing w:line="288" w:lineRule="auto"/>
        <w:rPr>
          <w:rFonts w:hint="eastAsia" w:ascii="黑体" w:hAnsi="黑体" w:eastAsia="黑体"/>
          <w:kern w:val="0"/>
          <w:sz w:val="21"/>
          <w:szCs w:val="21"/>
          <w:lang w:val="en-US" w:eastAsia="zh-CN"/>
        </w:rPr>
      </w:pPr>
    </w:p>
    <w:p w14:paraId="59B56ECD">
      <w:pPr>
        <w:numPr>
          <w:ilvl w:val="0"/>
          <w:numId w:val="0"/>
        </w:numPr>
        <w:snapToGrid w:val="0"/>
        <w:spacing w:line="288" w:lineRule="auto"/>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第四单元  早教机构的课程管理</w:t>
      </w:r>
    </w:p>
    <w:p w14:paraId="30320B81">
      <w:pPr>
        <w:numPr>
          <w:ilvl w:val="0"/>
          <w:numId w:val="0"/>
        </w:numPr>
        <w:snapToGrid w:val="0"/>
        <w:spacing w:line="288" w:lineRule="auto"/>
        <w:ind w:left="315" w:leftChars="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1.解课程目标、课程内容、课程质量评价、课程开发的含义与意义。</w:t>
      </w:r>
    </w:p>
    <w:p w14:paraId="13179C72">
      <w:pPr>
        <w:numPr>
          <w:ilvl w:val="0"/>
          <w:numId w:val="0"/>
        </w:numPr>
        <w:snapToGrid w:val="0"/>
        <w:spacing w:line="288" w:lineRule="auto"/>
        <w:ind w:left="315" w:leftChars="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2.理解课程目标、课程内容的确定依据、课程组织的原则与形式、课程质量评价的原则与方法。</w:t>
      </w:r>
    </w:p>
    <w:p w14:paraId="633DB507">
      <w:pPr>
        <w:numPr>
          <w:ilvl w:val="0"/>
          <w:numId w:val="0"/>
        </w:numPr>
        <w:snapToGrid w:val="0"/>
        <w:spacing w:line="288" w:lineRule="auto"/>
        <w:ind w:left="315" w:leftChars="0"/>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3.掌握课程开发的原则、环节与步骤，并学会开发早教机构课程。这是学习的难点。</w:t>
      </w:r>
    </w:p>
    <w:p w14:paraId="7A8A5A4D">
      <w:pPr>
        <w:widowControl w:val="0"/>
        <w:numPr>
          <w:ilvl w:val="0"/>
          <w:numId w:val="0"/>
        </w:numPr>
        <w:tabs>
          <w:tab w:val="left" w:pos="312"/>
        </w:tabs>
        <w:snapToGrid w:val="0"/>
        <w:spacing w:line="288" w:lineRule="auto"/>
        <w:jc w:val="both"/>
        <w:rPr>
          <w:rFonts w:hint="eastAsia" w:ascii="黑体" w:hAnsi="黑体" w:eastAsia="黑体"/>
          <w:kern w:val="0"/>
          <w:sz w:val="21"/>
          <w:szCs w:val="21"/>
          <w:lang w:val="en-US" w:eastAsia="zh-CN"/>
        </w:rPr>
      </w:pPr>
    </w:p>
    <w:p w14:paraId="1D742789">
      <w:pPr>
        <w:widowControl w:val="0"/>
        <w:numPr>
          <w:ilvl w:val="0"/>
          <w:numId w:val="0"/>
        </w:numPr>
        <w:tabs>
          <w:tab w:val="left" w:pos="312"/>
        </w:tabs>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第五单元  早教机构的安全管理</w:t>
      </w:r>
    </w:p>
    <w:p w14:paraId="11CF801D">
      <w:pPr>
        <w:widowControl w:val="0"/>
        <w:numPr>
          <w:ilvl w:val="0"/>
          <w:numId w:val="4"/>
        </w:numPr>
        <w:snapToGrid w:val="0"/>
        <w:spacing w:line="288" w:lineRule="auto"/>
        <w:ind w:left="315" w:leftChars="0" w:firstLine="0" w:firstLineChars="0"/>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了解早教机构中安全管理的含义与意义。</w:t>
      </w:r>
    </w:p>
    <w:p w14:paraId="1B673ADD">
      <w:pPr>
        <w:widowControl w:val="0"/>
        <w:numPr>
          <w:ilvl w:val="0"/>
          <w:numId w:val="4"/>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掌握早教机构中安全管理的相关内容、要求与实施方式。</w:t>
      </w:r>
    </w:p>
    <w:p w14:paraId="3A15D54B">
      <w:pPr>
        <w:widowControl w:val="0"/>
        <w:numPr>
          <w:ilvl w:val="0"/>
          <w:numId w:val="4"/>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能够在实践中运用所学知识处理安全事故。</w:t>
      </w:r>
    </w:p>
    <w:p w14:paraId="10D4CF0F">
      <w:pPr>
        <w:widowControl w:val="0"/>
        <w:numPr>
          <w:ilvl w:val="0"/>
          <w:numId w:val="0"/>
        </w:numPr>
        <w:snapToGrid w:val="0"/>
        <w:spacing w:line="288" w:lineRule="auto"/>
        <w:ind w:left="315" w:leftChars="0"/>
        <w:jc w:val="both"/>
        <w:rPr>
          <w:rFonts w:hint="eastAsia" w:ascii="黑体" w:hAnsi="黑体" w:eastAsia="黑体"/>
          <w:kern w:val="0"/>
          <w:sz w:val="21"/>
          <w:szCs w:val="21"/>
          <w:lang w:val="en-US" w:eastAsia="zh-CN"/>
        </w:rPr>
      </w:pPr>
    </w:p>
    <w:p w14:paraId="158CF451">
      <w:pPr>
        <w:widowControl w:val="0"/>
        <w:numPr>
          <w:ilvl w:val="0"/>
          <w:numId w:val="0"/>
        </w:numPr>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第六单元 早教机构的班级管理</w:t>
      </w:r>
    </w:p>
    <w:p w14:paraId="2A263F93">
      <w:pPr>
        <w:widowControl w:val="0"/>
        <w:numPr>
          <w:ilvl w:val="0"/>
          <w:numId w:val="5"/>
        </w:numPr>
        <w:snapToGrid w:val="0"/>
        <w:spacing w:line="288" w:lineRule="auto"/>
        <w:ind w:left="315" w:leftChars="0" w:firstLine="0" w:firstLineChars="0"/>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了解早教机构班级管理的含义，特征及功能。</w:t>
      </w:r>
    </w:p>
    <w:p w14:paraId="3CBF42CB">
      <w:pPr>
        <w:widowControl w:val="0"/>
        <w:numPr>
          <w:ilvl w:val="0"/>
          <w:numId w:val="5"/>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知道早教机构班级管理的内容，掌握早教机构班级管理的方法与途径，并能在具体情境中加以运用。</w:t>
      </w:r>
    </w:p>
    <w:p w14:paraId="19541707">
      <w:pPr>
        <w:widowControl w:val="0"/>
        <w:numPr>
          <w:ilvl w:val="0"/>
          <w:numId w:val="5"/>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理解早教机构班级管理的原则及其运用的情境。</w:t>
      </w:r>
    </w:p>
    <w:p w14:paraId="397E4A51">
      <w:pPr>
        <w:widowControl w:val="0"/>
        <w:numPr>
          <w:ilvl w:val="0"/>
          <w:numId w:val="0"/>
        </w:numPr>
        <w:snapToGrid w:val="0"/>
        <w:spacing w:line="288" w:lineRule="auto"/>
        <w:jc w:val="both"/>
        <w:rPr>
          <w:rFonts w:hint="eastAsia" w:ascii="黑体" w:hAnsi="黑体" w:eastAsia="黑体"/>
          <w:kern w:val="0"/>
          <w:sz w:val="21"/>
          <w:szCs w:val="21"/>
          <w:lang w:val="en-US" w:eastAsia="zh-CN"/>
        </w:rPr>
      </w:pPr>
    </w:p>
    <w:p w14:paraId="396261AD">
      <w:pPr>
        <w:widowControl w:val="0"/>
        <w:numPr>
          <w:ilvl w:val="0"/>
          <w:numId w:val="0"/>
        </w:numPr>
        <w:snapToGrid w:val="0"/>
        <w:spacing w:line="288" w:lineRule="auto"/>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第七单元 早教机构的经费与物资管理</w:t>
      </w:r>
    </w:p>
    <w:p w14:paraId="33DD1067">
      <w:pPr>
        <w:widowControl w:val="0"/>
        <w:numPr>
          <w:ilvl w:val="0"/>
          <w:numId w:val="6"/>
        </w:numPr>
        <w:snapToGrid w:val="0"/>
        <w:spacing w:line="288" w:lineRule="auto"/>
        <w:ind w:left="315" w:leftChars="0" w:firstLine="0" w:firstLineChars="0"/>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了解早教机构经费管理和物资管理的基本知识。</w:t>
      </w:r>
    </w:p>
    <w:p w14:paraId="26F9C1D9">
      <w:pPr>
        <w:widowControl w:val="0"/>
        <w:numPr>
          <w:ilvl w:val="0"/>
          <w:numId w:val="6"/>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理解早教机构经费管理和物资管理的基本要求和实操程序。</w:t>
      </w:r>
    </w:p>
    <w:p w14:paraId="29960639">
      <w:pPr>
        <w:widowControl w:val="0"/>
        <w:numPr>
          <w:ilvl w:val="0"/>
          <w:numId w:val="6"/>
        </w:numPr>
        <w:snapToGrid w:val="0"/>
        <w:spacing w:line="288" w:lineRule="auto"/>
        <w:ind w:left="315" w:leftChars="0" w:firstLine="0" w:firstLineChars="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愿意在具体情境中尝试运用经费和物资管理的基本知识，解决实际问题。</w:t>
      </w:r>
    </w:p>
    <w:p w14:paraId="6933CECE">
      <w:pPr>
        <w:widowControl w:val="0"/>
        <w:numPr>
          <w:ilvl w:val="0"/>
          <w:numId w:val="0"/>
        </w:numPr>
        <w:snapToGrid w:val="0"/>
        <w:spacing w:line="288" w:lineRule="auto"/>
        <w:ind w:left="315" w:leftChars="0"/>
        <w:jc w:val="both"/>
        <w:rPr>
          <w:rFonts w:hint="eastAsia" w:ascii="黑体" w:hAnsi="黑体" w:eastAsia="黑体"/>
          <w:kern w:val="0"/>
          <w:sz w:val="21"/>
          <w:szCs w:val="21"/>
          <w:lang w:val="en-US" w:eastAsia="zh-CN"/>
        </w:rPr>
      </w:pPr>
    </w:p>
    <w:p w14:paraId="1E5F1688">
      <w:pPr>
        <w:widowControl w:val="0"/>
        <w:numPr>
          <w:ilvl w:val="0"/>
          <w:numId w:val="0"/>
        </w:numPr>
        <w:snapToGrid w:val="0"/>
        <w:spacing w:line="288" w:lineRule="auto"/>
        <w:ind w:left="315" w:leftChars="0"/>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第八单元 连锁早教机构运营管理</w:t>
      </w:r>
    </w:p>
    <w:p w14:paraId="01A6EFF2">
      <w:pPr>
        <w:widowControl w:val="0"/>
        <w:numPr>
          <w:ilvl w:val="0"/>
          <w:numId w:val="7"/>
        </w:numPr>
        <w:snapToGrid w:val="0"/>
        <w:spacing w:line="288" w:lineRule="auto"/>
        <w:ind w:left="315" w:leftChars="0" w:firstLine="420" w:firstLineChars="200"/>
        <w:jc w:val="both"/>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了解连锁早教机构的基本情况。</w:t>
      </w:r>
    </w:p>
    <w:p w14:paraId="3B76A046">
      <w:pPr>
        <w:widowControl w:val="0"/>
        <w:numPr>
          <w:ilvl w:val="0"/>
          <w:numId w:val="7"/>
        </w:numPr>
        <w:snapToGrid w:val="0"/>
        <w:spacing w:line="288" w:lineRule="auto"/>
        <w:ind w:left="315" w:leftChars="0" w:firstLine="420" w:firstLineChars="20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理解连锁早教机构管理的基本要求和质量评估标准。</w:t>
      </w:r>
    </w:p>
    <w:p w14:paraId="081013F3">
      <w:pPr>
        <w:widowControl w:val="0"/>
        <w:numPr>
          <w:ilvl w:val="0"/>
          <w:numId w:val="7"/>
        </w:numPr>
        <w:snapToGrid w:val="0"/>
        <w:spacing w:line="288" w:lineRule="auto"/>
        <w:ind w:left="315" w:leftChars="0" w:firstLine="420" w:firstLineChars="200"/>
        <w:jc w:val="both"/>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愿意在实践中尝试并运用早教机构的管理要求和质量管理标准。</w:t>
      </w:r>
    </w:p>
    <w:p w14:paraId="6ED9D126">
      <w:pPr>
        <w:snapToGrid w:val="0"/>
        <w:spacing w:line="288" w:lineRule="auto"/>
        <w:ind w:right="26"/>
        <w:rPr>
          <w:sz w:val="20"/>
          <w:szCs w:val="20"/>
        </w:rPr>
      </w:pPr>
    </w:p>
    <w:p w14:paraId="681C379D">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14:paraId="44C316C9">
      <w:pPr>
        <w:snapToGrid w:val="0"/>
        <w:spacing w:line="288" w:lineRule="auto"/>
        <w:ind w:right="2520" w:firstLine="480" w:firstLineChars="200"/>
        <w:rPr>
          <w:rFonts w:hint="eastAsia" w:ascii="黑体" w:hAnsi="宋体" w:eastAsia="黑体"/>
          <w:sz w:val="24"/>
          <w:lang w:val="en-US" w:eastAsia="zh-CN"/>
        </w:rPr>
      </w:pPr>
    </w:p>
    <w:p w14:paraId="2A8E140F">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6466A6AF">
        <w:tc>
          <w:tcPr>
            <w:tcW w:w="1809" w:type="dxa"/>
            <w:shd w:val="clear" w:color="auto" w:fill="auto"/>
          </w:tcPr>
          <w:p w14:paraId="02CB6659">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7A9F830B">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70C5FB03">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485760B5">
        <w:tc>
          <w:tcPr>
            <w:tcW w:w="1809" w:type="dxa"/>
            <w:shd w:val="clear" w:color="auto" w:fill="auto"/>
            <w:vAlign w:val="top"/>
          </w:tcPr>
          <w:p w14:paraId="25315FBE">
            <w:pPr>
              <w:snapToGrid w:val="0"/>
              <w:spacing w:beforeLines="50" w:afterLines="50"/>
              <w:jc w:val="center"/>
              <w:rPr>
                <w:rFonts w:hint="eastAsia" w:ascii="宋体" w:hAnsi="宋体" w:eastAsia="宋体" w:cs="Times New Roman"/>
                <w:bCs/>
                <w:color w:val="000000"/>
                <w:kern w:val="2"/>
                <w:sz w:val="21"/>
                <w:szCs w:val="20"/>
                <w:lang w:val="en-US" w:eastAsia="zh-CN" w:bidi="ar-SA"/>
              </w:rPr>
            </w:pPr>
            <w:r>
              <w:rPr>
                <w:rFonts w:hint="eastAsia" w:ascii="宋体" w:hAnsi="宋体"/>
                <w:bCs/>
                <w:color w:val="000000"/>
                <w:szCs w:val="20"/>
              </w:rPr>
              <w:t>X1</w:t>
            </w:r>
          </w:p>
        </w:tc>
        <w:tc>
          <w:tcPr>
            <w:tcW w:w="5103" w:type="dxa"/>
            <w:shd w:val="clear" w:color="auto" w:fill="auto"/>
            <w:vAlign w:val="top"/>
          </w:tcPr>
          <w:p w14:paraId="1B66AF4D">
            <w:pPr>
              <w:spacing w:line="288" w:lineRule="auto"/>
              <w:ind w:firstLine="420" w:firstLineChars="20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期末随堂考试（开卷）</w:t>
            </w:r>
          </w:p>
        </w:tc>
        <w:tc>
          <w:tcPr>
            <w:tcW w:w="1843" w:type="dxa"/>
            <w:shd w:val="clear" w:color="auto" w:fill="auto"/>
            <w:vAlign w:val="top"/>
          </w:tcPr>
          <w:p w14:paraId="32FE8DFF">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60</w:t>
            </w:r>
            <w:r>
              <w:rPr>
                <w:rFonts w:hint="eastAsia" w:ascii="宋体" w:hAnsi="宋体" w:eastAsia="宋体"/>
                <w:bCs/>
                <w:color w:val="000000"/>
                <w:szCs w:val="20"/>
                <w:lang w:val="en-US" w:eastAsia="zh-CN"/>
              </w:rPr>
              <w:t>%</w:t>
            </w:r>
          </w:p>
        </w:tc>
      </w:tr>
      <w:tr w14:paraId="41FA294D">
        <w:tc>
          <w:tcPr>
            <w:tcW w:w="1809" w:type="dxa"/>
            <w:shd w:val="clear" w:color="auto" w:fill="auto"/>
            <w:vAlign w:val="top"/>
          </w:tcPr>
          <w:p w14:paraId="45CF4489">
            <w:pPr>
              <w:snapToGrid w:val="0"/>
              <w:spacing w:beforeLines="50" w:afterLines="50"/>
              <w:jc w:val="center"/>
              <w:rPr>
                <w:rFonts w:hint="eastAsia" w:ascii="宋体" w:hAnsi="宋体" w:eastAsia="宋体" w:cs="Times New Roman"/>
                <w:bCs/>
                <w:color w:val="000000"/>
                <w:kern w:val="2"/>
                <w:sz w:val="21"/>
                <w:szCs w:val="20"/>
                <w:lang w:val="en-US" w:eastAsia="zh-CN" w:bidi="ar-SA"/>
              </w:rPr>
            </w:pPr>
            <w:r>
              <w:rPr>
                <w:rFonts w:hint="eastAsia" w:ascii="宋体" w:hAnsi="宋体"/>
                <w:bCs/>
                <w:color w:val="000000"/>
                <w:szCs w:val="20"/>
              </w:rPr>
              <w:t>X2</w:t>
            </w:r>
          </w:p>
        </w:tc>
        <w:tc>
          <w:tcPr>
            <w:tcW w:w="5103" w:type="dxa"/>
            <w:shd w:val="clear" w:color="auto" w:fill="auto"/>
            <w:vAlign w:val="top"/>
          </w:tcPr>
          <w:p w14:paraId="3CB376A1">
            <w:pPr>
              <w:snapToGrid w:val="0"/>
              <w:spacing w:beforeLines="50" w:afterLines="50"/>
              <w:ind w:firstLine="1260" w:firstLineChars="600"/>
              <w:jc w:val="both"/>
              <w:rPr>
                <w:rFonts w:hint="default" w:ascii="宋体" w:hAnsi="宋体" w:eastAsia="宋体"/>
                <w:bCs/>
                <w:color w:val="000000"/>
                <w:szCs w:val="20"/>
                <w:lang w:val="en-US" w:eastAsia="zh-CN"/>
              </w:rPr>
            </w:pPr>
            <w:r>
              <w:rPr>
                <w:rFonts w:hint="eastAsia" w:ascii="宋体" w:hAnsi="宋体"/>
                <w:bCs/>
                <w:color w:val="000000"/>
                <w:szCs w:val="20"/>
                <w:lang w:val="en-US" w:eastAsia="zh-CN"/>
              </w:rPr>
              <w:t>设计：早教机构的招生简章</w:t>
            </w:r>
          </w:p>
        </w:tc>
        <w:tc>
          <w:tcPr>
            <w:tcW w:w="1843" w:type="dxa"/>
            <w:shd w:val="clear" w:color="auto" w:fill="auto"/>
            <w:vAlign w:val="top"/>
          </w:tcPr>
          <w:p w14:paraId="37BF2FBE">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w:t>
            </w:r>
            <w:r>
              <w:rPr>
                <w:rFonts w:hint="eastAsia" w:ascii="宋体" w:hAnsi="宋体" w:eastAsia="宋体"/>
                <w:bCs/>
                <w:color w:val="000000"/>
                <w:szCs w:val="20"/>
                <w:lang w:val="en-US" w:eastAsia="zh-CN"/>
              </w:rPr>
              <w:t>0%</w:t>
            </w:r>
          </w:p>
        </w:tc>
      </w:tr>
      <w:tr w14:paraId="74FEF221">
        <w:tc>
          <w:tcPr>
            <w:tcW w:w="1809" w:type="dxa"/>
            <w:shd w:val="clear" w:color="auto" w:fill="auto"/>
            <w:vAlign w:val="top"/>
          </w:tcPr>
          <w:p w14:paraId="0B11B605">
            <w:pPr>
              <w:snapToGrid w:val="0"/>
              <w:spacing w:beforeLines="50" w:afterLines="50"/>
              <w:jc w:val="center"/>
              <w:rPr>
                <w:rFonts w:hint="eastAsia" w:ascii="宋体" w:hAnsi="宋体" w:eastAsia="宋体" w:cs="Times New Roman"/>
                <w:bCs/>
                <w:color w:val="000000"/>
                <w:kern w:val="2"/>
                <w:sz w:val="21"/>
                <w:szCs w:val="20"/>
                <w:lang w:val="en-US" w:eastAsia="zh-CN" w:bidi="ar-SA"/>
              </w:rPr>
            </w:pPr>
            <w:r>
              <w:rPr>
                <w:rFonts w:hint="eastAsia" w:ascii="宋体" w:hAnsi="宋体"/>
                <w:bCs/>
                <w:color w:val="000000"/>
                <w:szCs w:val="20"/>
              </w:rPr>
              <w:t>X</w:t>
            </w:r>
            <w:r>
              <w:rPr>
                <w:rFonts w:hint="eastAsia" w:ascii="宋体" w:hAnsi="宋体"/>
                <w:bCs/>
                <w:color w:val="000000"/>
                <w:szCs w:val="20"/>
                <w:lang w:val="en-US" w:eastAsia="zh-CN"/>
              </w:rPr>
              <w:t>3</w:t>
            </w:r>
          </w:p>
        </w:tc>
        <w:tc>
          <w:tcPr>
            <w:tcW w:w="5103" w:type="dxa"/>
            <w:shd w:val="clear" w:color="auto" w:fill="auto"/>
            <w:vAlign w:val="top"/>
          </w:tcPr>
          <w:p w14:paraId="3ADA6D33">
            <w:pPr>
              <w:snapToGrid w:val="0"/>
              <w:spacing w:beforeLines="50" w:afterLines="50"/>
              <w:jc w:val="center"/>
              <w:rPr>
                <w:rFonts w:hint="default"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讨论：如何开展一次安全教育主题活动</w:t>
            </w:r>
          </w:p>
        </w:tc>
        <w:tc>
          <w:tcPr>
            <w:tcW w:w="1843" w:type="dxa"/>
            <w:shd w:val="clear" w:color="auto" w:fill="auto"/>
            <w:vAlign w:val="top"/>
          </w:tcPr>
          <w:p w14:paraId="16BF5727">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r w14:paraId="0323BB81">
        <w:tc>
          <w:tcPr>
            <w:tcW w:w="1809" w:type="dxa"/>
            <w:shd w:val="clear" w:color="auto" w:fill="auto"/>
          </w:tcPr>
          <w:p w14:paraId="79F52C90">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4</w:t>
            </w:r>
          </w:p>
        </w:tc>
        <w:tc>
          <w:tcPr>
            <w:tcW w:w="5103" w:type="dxa"/>
            <w:shd w:val="clear" w:color="auto" w:fill="auto"/>
            <w:vAlign w:val="top"/>
          </w:tcPr>
          <w:p w14:paraId="093D0063">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分析案例</w:t>
            </w:r>
          </w:p>
        </w:tc>
        <w:tc>
          <w:tcPr>
            <w:tcW w:w="1843" w:type="dxa"/>
            <w:shd w:val="clear" w:color="auto" w:fill="auto"/>
            <w:vAlign w:val="top"/>
          </w:tcPr>
          <w:p w14:paraId="65D74E63">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bl>
    <w:p w14:paraId="6AA733CF">
      <w:pPr>
        <w:snapToGrid w:val="0"/>
        <w:spacing w:before="120" w:after="120" w:line="288" w:lineRule="auto"/>
        <w:rPr>
          <w:rFonts w:ascii="宋体" w:hAnsi="宋体"/>
          <w:sz w:val="20"/>
          <w:szCs w:val="20"/>
          <w:highlight w:val="yellow"/>
        </w:rPr>
      </w:pPr>
    </w:p>
    <w:p w14:paraId="316B671F">
      <w:pPr>
        <w:snapToGrid w:val="0"/>
        <w:spacing w:before="120" w:after="120" w:line="288" w:lineRule="auto"/>
        <w:ind w:firstLine="400" w:firstLineChars="200"/>
        <w:rPr>
          <w:rFonts w:ascii="宋体" w:hAnsi="宋体"/>
          <w:sz w:val="20"/>
          <w:szCs w:val="20"/>
          <w:highlight w:val="yellow"/>
        </w:rPr>
      </w:pPr>
    </w:p>
    <w:p w14:paraId="0999FF0D">
      <w:pPr>
        <w:snapToGrid w:val="0"/>
        <w:spacing w:line="288" w:lineRule="auto"/>
        <w:ind w:firstLine="840" w:firstLineChars="300"/>
        <w:rPr>
          <w:sz w:val="28"/>
          <w:szCs w:val="28"/>
        </w:rPr>
      </w:pPr>
      <w:r>
        <w:rPr>
          <w:rFonts w:hint="eastAsia"/>
          <w:sz w:val="28"/>
          <w:szCs w:val="28"/>
        </w:rPr>
        <w:t>撰写人：</w:t>
      </w:r>
      <w:r>
        <w:rPr>
          <w:rFonts w:hint="eastAsia"/>
          <w:sz w:val="28"/>
          <w:szCs w:val="28"/>
          <w:lang w:eastAsia="zh-CN"/>
        </w:rPr>
        <w:t>卢美华</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  王丽燕   </w:t>
      </w:r>
      <w:r>
        <w:rPr>
          <w:rFonts w:hint="eastAsia"/>
          <w:sz w:val="28"/>
          <w:szCs w:val="28"/>
        </w:rPr>
        <w:t>审核时间：</w:t>
      </w:r>
      <w:r>
        <w:rPr>
          <w:rFonts w:hint="eastAsia"/>
          <w:sz w:val="28"/>
          <w:szCs w:val="28"/>
          <w:lang w:val="en-US" w:eastAsia="zh-CN"/>
        </w:rPr>
        <w:t xml:space="preserve">  2024-3</w:t>
      </w:r>
      <w:bookmarkStart w:id="1" w:name="_GoBack"/>
      <w:bookmarkEnd w:id="1"/>
      <w:r>
        <w:rPr>
          <w:rFonts w:hint="eastAsia"/>
          <w:sz w:val="28"/>
          <w:szCs w:val="28"/>
          <w:lang w:val="en-US" w:eastAsia="zh-CN"/>
        </w:rPr>
        <w:t xml:space="preserve">                     </w:t>
      </w:r>
    </w:p>
    <w:p w14:paraId="6BC338C7"/>
    <w:sectPr>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D7137"/>
    <w:multiLevelType w:val="singleLevel"/>
    <w:tmpl w:val="90BD7137"/>
    <w:lvl w:ilvl="0" w:tentative="0">
      <w:start w:val="1"/>
      <w:numFmt w:val="decimal"/>
      <w:lvlText w:val="%1."/>
      <w:lvlJc w:val="left"/>
      <w:pPr>
        <w:tabs>
          <w:tab w:val="left" w:pos="312"/>
        </w:tabs>
        <w:ind w:left="315" w:leftChars="0" w:firstLine="0" w:firstLineChars="0"/>
      </w:pPr>
    </w:lvl>
  </w:abstractNum>
  <w:abstractNum w:abstractNumId="1">
    <w:nsid w:val="DC89ED66"/>
    <w:multiLevelType w:val="singleLevel"/>
    <w:tmpl w:val="DC89ED66"/>
    <w:lvl w:ilvl="0" w:tentative="0">
      <w:start w:val="1"/>
      <w:numFmt w:val="decimal"/>
      <w:lvlText w:val="%1."/>
      <w:lvlJc w:val="left"/>
      <w:pPr>
        <w:tabs>
          <w:tab w:val="left" w:pos="312"/>
        </w:tabs>
      </w:pPr>
    </w:lvl>
  </w:abstractNum>
  <w:abstractNum w:abstractNumId="2">
    <w:nsid w:val="E2E47F0E"/>
    <w:multiLevelType w:val="singleLevel"/>
    <w:tmpl w:val="E2E47F0E"/>
    <w:lvl w:ilvl="0" w:tentative="0">
      <w:start w:val="1"/>
      <w:numFmt w:val="decimal"/>
      <w:lvlText w:val="%1."/>
      <w:lvlJc w:val="left"/>
      <w:pPr>
        <w:tabs>
          <w:tab w:val="left" w:pos="312"/>
        </w:tabs>
      </w:pPr>
    </w:lvl>
  </w:abstractNum>
  <w:abstractNum w:abstractNumId="3">
    <w:nsid w:val="06D16C09"/>
    <w:multiLevelType w:val="singleLevel"/>
    <w:tmpl w:val="06D16C09"/>
    <w:lvl w:ilvl="0" w:tentative="0">
      <w:start w:val="1"/>
      <w:numFmt w:val="decimal"/>
      <w:lvlText w:val="%1."/>
      <w:lvlJc w:val="left"/>
      <w:pPr>
        <w:tabs>
          <w:tab w:val="left" w:pos="312"/>
        </w:tabs>
      </w:pPr>
    </w:lvl>
  </w:abstractNum>
  <w:abstractNum w:abstractNumId="4">
    <w:nsid w:val="533BD097"/>
    <w:multiLevelType w:val="singleLevel"/>
    <w:tmpl w:val="533BD097"/>
    <w:lvl w:ilvl="0" w:tentative="0">
      <w:start w:val="1"/>
      <w:numFmt w:val="decimal"/>
      <w:lvlText w:val="%1."/>
      <w:lvlJc w:val="left"/>
      <w:pPr>
        <w:tabs>
          <w:tab w:val="left" w:pos="312"/>
        </w:tabs>
        <w:ind w:left="315" w:leftChars="0" w:firstLine="0" w:firstLineChars="0"/>
      </w:pPr>
    </w:lvl>
  </w:abstractNum>
  <w:abstractNum w:abstractNumId="5">
    <w:nsid w:val="5C4FDDB5"/>
    <w:multiLevelType w:val="singleLevel"/>
    <w:tmpl w:val="5C4FDDB5"/>
    <w:lvl w:ilvl="0" w:tentative="0">
      <w:start w:val="1"/>
      <w:numFmt w:val="decimal"/>
      <w:lvlText w:val="%1."/>
      <w:lvlJc w:val="left"/>
      <w:pPr>
        <w:tabs>
          <w:tab w:val="left" w:pos="312"/>
        </w:tabs>
      </w:pPr>
    </w:lvl>
  </w:abstractNum>
  <w:abstractNum w:abstractNumId="6">
    <w:nsid w:val="7BBDDC45"/>
    <w:multiLevelType w:val="singleLevel"/>
    <w:tmpl w:val="7BBDDC45"/>
    <w:lvl w:ilvl="0" w:tentative="0">
      <w:start w:val="1"/>
      <w:numFmt w:val="decimal"/>
      <w:lvlText w:val="%1."/>
      <w:lvlJc w:val="left"/>
      <w:pPr>
        <w:tabs>
          <w:tab w:val="left" w:pos="312"/>
        </w:tabs>
        <w:ind w:left="315" w:leftChars="0" w:firstLine="0" w:firstLineChars="0"/>
      </w:p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3254DEC"/>
    <w:rsid w:val="0A8128A6"/>
    <w:rsid w:val="0BF32A1B"/>
    <w:rsid w:val="10BD2C22"/>
    <w:rsid w:val="1DD839A4"/>
    <w:rsid w:val="21B6265C"/>
    <w:rsid w:val="22987C80"/>
    <w:rsid w:val="24192CCC"/>
    <w:rsid w:val="2F0A1092"/>
    <w:rsid w:val="34DE47AD"/>
    <w:rsid w:val="39A66CD4"/>
    <w:rsid w:val="3CD52CE1"/>
    <w:rsid w:val="3FD97251"/>
    <w:rsid w:val="410F2E6A"/>
    <w:rsid w:val="4430136C"/>
    <w:rsid w:val="49407161"/>
    <w:rsid w:val="4AB0382B"/>
    <w:rsid w:val="4AF218B2"/>
    <w:rsid w:val="569868B5"/>
    <w:rsid w:val="611F6817"/>
    <w:rsid w:val="648761BF"/>
    <w:rsid w:val="66CA1754"/>
    <w:rsid w:val="6C982013"/>
    <w:rsid w:val="6D4D11D8"/>
    <w:rsid w:val="6F1E65D4"/>
    <w:rsid w:val="6F266C86"/>
    <w:rsid w:val="6F5042C2"/>
    <w:rsid w:val="70CA70BE"/>
    <w:rsid w:val="74316312"/>
    <w:rsid w:val="75447D8E"/>
    <w:rsid w:val="780F13C8"/>
    <w:rsid w:val="78BE6699"/>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2479</Words>
  <Characters>2648</Characters>
  <Lines>13</Lines>
  <Paragraphs>3</Paragraphs>
  <TotalTime>3</TotalTime>
  <ScaleCrop>false</ScaleCrop>
  <LinksUpToDate>false</LinksUpToDate>
  <CharactersWithSpaces>2739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cp:lastPrinted>2024-09-27T14:11:00Z</cp:lastPrinted>
  <dcterms:modified xsi:type="dcterms:W3CDTF">2024-10-13T10:56:25Z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DCC4B074FBAB4DBCB98B3A81FD999144</vt:lpwstr>
  </property>
</Properties>
</file>