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sz w:val="6"/>
          <w:szCs w:val="6"/>
        </w:rPr>
      </w:pPr>
    </w:p>
    <w:p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/>
          <w:sz w:val="32"/>
          <w:szCs w:val="32"/>
          <w:lang w:val="zh-TW" w:eastAsia="zh-TW"/>
        </w:rPr>
        <w:t>上海建桥学院课程教学进度计划表</w:t>
      </w:r>
    </w:p>
    <w:p>
      <w:pPr>
        <w:pStyle w:val="style0"/>
        <w:spacing w:after="180"/>
        <w:jc w:val="center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05"/>
        <w:gridCol w:w="1231"/>
        <w:gridCol w:w="1700"/>
        <w:gridCol w:w="2553"/>
      </w:tblGrid>
      <w:tr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宋体"/>
              </w:rPr>
            </w:pPr>
            <w:r>
              <w:rPr>
                <w:rFonts w:cs="Calibri" w:eastAsia="Calibri"/>
                <w:sz w:val="21"/>
                <w:szCs w:val="21"/>
              </w:rPr>
              <w:t>21</w:t>
            </w:r>
            <w:r>
              <w:rPr>
                <w:rFonts w:cs="Calibri" w:eastAsia="宋体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概率论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cs="Calibri" w:eastAsia="Calibri"/>
                <w:sz w:val="21"/>
                <w:szCs w:val="21"/>
              </w:rPr>
              <w:t>32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hint="eastAsia"/>
                <w:lang w:eastAsia="zh-CN"/>
              </w:rPr>
              <w:t>肖彤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default"/>
                <w:lang w:val="en-US"/>
              </w:rPr>
              <w:t>xzhen321</w:t>
            </w:r>
            <w:r>
              <w:rPr>
                <w:rFonts w:hint="eastAsia"/>
              </w:rPr>
              <w:t>@1</w:t>
            </w:r>
            <w:r>
              <w:rPr>
                <w:rFonts w:hint="default"/>
                <w:lang w:val="en-US"/>
              </w:rPr>
              <w:t>63</w:t>
            </w:r>
            <w:r>
              <w:rPr>
                <w:rFonts w:hint="eastAsia"/>
              </w:rPr>
              <w:t>.com</w:t>
            </w:r>
          </w:p>
        </w:tc>
      </w:tr>
      <w:tr>
        <w:tblPrEx/>
        <w:trPr>
          <w:trHeight w:val="693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left"/>
              <w:rPr/>
            </w:pPr>
            <w:r>
              <w:rPr>
                <w:rFonts w:hint="eastAsia"/>
                <w:lang w:val="en-US" w:eastAsia="zh-CN"/>
              </w:rPr>
              <w:t>软工</w:t>
            </w:r>
            <w:r>
              <w:rPr>
                <w:rFonts w:hint="default"/>
                <w:lang w:val="en-US" w:eastAsia="zh-CN"/>
              </w:rPr>
              <w:t>B21-1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eastAsia="宋体"/>
              </w:rPr>
            </w:pPr>
            <w:r>
              <w:rPr>
                <w:rFonts w:eastAsia="宋体" w:hint="eastAsia"/>
              </w:rPr>
              <w:t>三教</w:t>
            </w:r>
            <w:r>
              <w:rPr>
                <w:rFonts w:eastAsia="宋体" w:hint="default"/>
                <w:lang w:val="en-US"/>
              </w:rPr>
              <w:t>204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/>
            </w:pP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周三周五中午</w:t>
            </w:r>
            <w:r>
              <w:rPr>
                <w:rFonts w:hint="default"/>
                <w:kern w:val="0"/>
                <w:sz w:val="18"/>
                <w:szCs w:val="18"/>
                <w:lang w:val="en-US" w:eastAsia="zh-CN"/>
              </w:rPr>
              <w:t>11:40-12:40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地点：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三教三楼教师休息室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zh-TW" w:eastAsia="zh-TW"/>
              </w:rPr>
              <w:t>电话：</w:t>
            </w:r>
            <w:r>
              <w:rPr>
                <w:rFonts w:ascii="黑体" w:cs="黑体" w:eastAsia="黑体" w:hAnsi="黑体"/>
                <w:kern w:val="0"/>
                <w:sz w:val="18"/>
                <w:szCs w:val="18"/>
                <w:lang w:val="en-US" w:eastAsia="zh-TW"/>
              </w:rPr>
              <w:t>13801853533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auto" w:line="288"/>
              <w:rPr/>
            </w:pP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>
        <w:tblPrEx/>
        <w:trPr>
          <w:trHeight w:val="411" w:hRule="atLeast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4098"/>
              <w:spacing w:lineRule="auto" w:line="288"/>
              <w:rPr>
                <w:sz w:val="20"/>
                <w:szCs w:val="20"/>
                <w:lang w:val="zh-TW"/>
              </w:rPr>
            </w:pP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浙江大学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盛骤等</w:t>
            </w:r>
            <w:r>
              <w:rPr>
                <w:rFonts w:ascii="宋体" w:cs="宋体" w:eastAsia="宋体" w:hAnsi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>
      <w:pPr>
        <w:pStyle w:val="style0"/>
        <w:spacing w:before="18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style4097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/>
            </w:pPr>
            <w:r>
              <w:rPr>
                <w:rFonts w:ascii="黑体" w:cs="黑体" w:eastAsia="黑体" w:hAnsi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ind w:firstLine="210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第一章第一节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样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第三节频率和概率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第六节事件的独立性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第一节随机变量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color w:val="ff0000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color w:val="ff0000"/>
                <w:kern w:val="0"/>
                <w:sz w:val="21"/>
                <w:szCs w:val="21"/>
              </w:rPr>
              <w:t>第五节随机变量函数的分布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629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第四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第二节方差</w:t>
            </w:r>
          </w:p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>
                <w:rFonts w:ascii="Calibri" w:cs="Calibri" w:hAnsi="Calibri"/>
                <w:kern w:val="0"/>
                <w:sz w:val="21"/>
                <w:szCs w:val="21"/>
              </w:rPr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章第一节大数定律</w:t>
            </w:r>
          </w:p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第二节</w:t>
            </w: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ascii="Calibri" w:cs="Calibri" w:hAnsi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rPr/>
            </w:pPr>
          </w:p>
        </w:tc>
      </w:tr>
      <w:tr>
        <w:tblPrEx/>
        <w:trPr>
          <w:trHeight w:val="40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widowControl/>
              <w:jc w:val="center"/>
              <w:rPr/>
            </w:pPr>
            <w:r>
              <w:rPr>
                <w:rFonts w:ascii="Calibri" w:cs="Calibri" w:hAnsi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="360" w:after="180"/>
        <w:jc w:val="both"/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</w:pPr>
      <w:r>
        <w:rPr>
          <w:rFonts w:ascii="仿宋" w:cs="仿宋" w:eastAsia="仿宋" w:hAnsi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style4097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>
        <w:trPr>
          <w:trHeight w:val="69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</w:t>
            </w:r>
            <w:r>
              <w:rPr>
                <w:rFonts w:hint="eastAsia"/>
                <w:sz w:val="21"/>
                <w:szCs w:val="21"/>
              </w:rPr>
              <w:t>1+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PMingLiU" w:cs="PMingLiU" w:eastAsia="PMingLiU" w:hAnsi="PMingLiU"/>
                <w:lang w:val="zh-TW" w:eastAsia="zh-TW"/>
              </w:rPr>
              <w:t>占比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40%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1</w:t>
            </w:r>
            <w:r>
              <w:rPr>
                <w:rFonts w:ascii="宋体" w:cs="宋体" w:eastAsia="宋体" w:hAnsi="宋体" w:hint="eastAsia"/>
              </w:rPr>
              <w:t>：课堂认可</w:t>
            </w:r>
            <w:r>
              <w:rPr>
                <w:rFonts w:ascii="宋体" w:cs="宋体" w:eastAsia="宋体" w:hAnsi="宋体" w:hint="eastAsia"/>
              </w:rPr>
              <w:t>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  <w:tr>
        <w:tblPrEx/>
        <w:trPr>
          <w:trHeight w:val="350" w:hRule="atLeast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ind w:firstLine="630" w:firstLineChars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平时表现</w:t>
            </w:r>
            <w:r>
              <w:rPr>
                <w:rFonts w:ascii="宋体" w:cs="宋体" w:eastAsia="宋体" w:hAnsi="宋体" w:hint="eastAsia"/>
              </w:rPr>
              <w:t>2：</w:t>
            </w:r>
            <w:r>
              <w:rPr>
                <w:rFonts w:ascii="宋体" w:cs="宋体" w:eastAsia="宋体" w:hAnsi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before="180" w:after="180"/>
              <w:jc w:val="center"/>
              <w:rPr/>
            </w:pPr>
            <w:r>
              <w:rPr>
                <w:rFonts w:ascii="宋体" w:cs="宋体" w:eastAsia="宋体" w:hAnsi="宋体"/>
              </w:rPr>
              <w:t>20%</w:t>
            </w:r>
          </w:p>
        </w:tc>
      </w:tr>
    </w:tbl>
    <w:p>
      <w:pPr>
        <w:pStyle w:val="style0"/>
        <w:tabs>
          <w:tab w:val="left" w:leader="none" w:pos="3210"/>
          <w:tab w:val="left" w:leader="none" w:pos="7560"/>
        </w:tabs>
        <w:spacing w:before="72" w:lineRule="auto" w:line="360"/>
        <w:jc w:val="both"/>
        <w:outlineLvl w:val="0"/>
        <w:rPr/>
      </w:pP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任课老师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 w:eastAsia="zh-CN"/>
        </w:rPr>
        <w:t>：肖彤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陈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苏</w:t>
      </w:r>
      <w:r>
        <w:rPr>
          <w:rFonts w:ascii="仿宋" w:cs="仿宋" w:eastAsia="仿宋" w:hAnsi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</w:t>
      </w:r>
      <w:r>
        <w:rPr>
          <w:rFonts w:ascii="仿宋" w:cs="仿宋" w:eastAsia="PMingLiU" w:hAnsi="仿宋"/>
          <w:position w:val="-40"/>
          <w:sz w:val="28"/>
          <w:szCs w:val="28"/>
          <w:lang w:val="zh-TW" w:eastAsia="zh-TW"/>
        </w:rPr>
        <w:t xml:space="preserve">  </w:t>
      </w:r>
      <w:r>
        <w:rPr>
          <w:rFonts w:ascii="仿宋" w:cs="仿宋" w:eastAsia="仿宋" w:hAnsi="仿宋"/>
          <w:position w:val="-40"/>
          <w:sz w:val="28"/>
          <w:szCs w:val="28"/>
          <w:lang w:val="zh-TW" w:eastAsia="zh-TW"/>
        </w:rPr>
        <w:t xml:space="preserve">   日期：</w:t>
      </w:r>
      <w:r>
        <w:rPr>
          <w:rFonts w:ascii="仿宋" w:cs="仿宋" w:eastAsia="仿宋" w:hAnsi="仿宋"/>
          <w:position w:val="-40"/>
          <w:sz w:val="28"/>
          <w:szCs w:val="28"/>
        </w:rPr>
        <w:t>20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23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/</w:t>
      </w:r>
      <w:r>
        <w:rPr>
          <w:rFonts w:ascii="仿宋" w:cs="仿宋" w:eastAsia="仿宋" w:hAnsi="仿宋" w:hint="eastAsia"/>
          <w:position w:val="-40"/>
          <w:sz w:val="28"/>
          <w:szCs w:val="28"/>
        </w:rPr>
        <w:t>20</w:t>
      </w:r>
    </w:p>
    <w:sectPr>
      <w:headerReference w:type="default" r:id="rId2"/>
      <w:footerReference w:type="default" r:id="rId3"/>
      <w:pgSz w:w="11900" w:h="16840" w:orient="portrait"/>
      <w:pgMar w:top="1418" w:right="1474" w:bottom="1361" w:left="1588" w:header="567" w:footer="794" w:gutter="0"/>
      <w:pgNumType w:start="2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 Unicode MS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000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Georgia" w:cs="Georgia" w:eastAsia="Georgia" w:hAnsi="Georgia" w:hint="default"/>
        <w:color w:val="ffffff"/>
        <w:sz w:val="26"/>
        <w:szCs w:val="26"/>
        <w:u w:color="ffffff"/>
      </w:rPr>
    </w:pP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begin"/>
    </w:r>
    <w:r>
      <w:rPr>
        <w:rFonts w:ascii="Georgia" w:cs="Georgia" w:eastAsia="Georgia" w:hAnsi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separate"/>
    </w:r>
    <w:r>
      <w:rPr>
        <w:rFonts w:ascii="Georgia" w:cs="Georgia" w:eastAsia="Georgia" w:hAnsi="Georgia" w:hint="default"/>
        <w:noProof/>
        <w:color w:val="ffffff"/>
        <w:sz w:val="26"/>
        <w:szCs w:val="26"/>
        <w:u w:color="ffffff"/>
      </w:rPr>
      <w:t>22</w:t>
    </w:r>
    <w:r>
      <w:rPr>
        <w:rFonts w:ascii="Georgia" w:cs="Georgia" w:eastAsia="Georgia" w:hAnsi="Georgia"/>
        <w:color w:val="ffffff"/>
        <w:sz w:val="26"/>
        <w:szCs w:val="26"/>
        <w:u w:color="ffffff"/>
      </w:rPr>
      <w:fldChar w:fldCharType="end"/>
    </w:r>
    <w:r>
      <w:rPr>
        <w:rFonts w:ascii="華康儷中黑" w:cs="華康儷中黑" w:eastAsia="華康儷中黑" w:hAnsi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style0"/>
      <w:spacing w:before="120" w:after="120"/>
      <w:jc w:val="both"/>
      <w:rPr/>
    </w:pPr>
    <w:r>
      <w:rPr>
        <w:rFonts w:ascii="宋体" w:cs="宋体" w:eastAsia="宋体" w:hAnsi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/>
      <w:ind w:firstLine="800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stroked="f" alt="文本框 1" style="position:absolute;margin-left:42.55pt;margin-top:28.3pt;width:207.5pt;height:24.45pt;z-index:-2147483645;mso-position-horizontal-relative:page;mso-position-vertical-relative:page;mso-width-relative:page;mso-height-relative:page;mso-wrap-distance-left:0.0pt;mso-wrap-distance-right:0.0pt;visibility:visible;">
          <v:stroke on="f" joinstyle="miter" weight="1.0pt"/>
          <v:fill/>
          <v:path o:connecttype="rect" gradientshapeok="t"/>
          <v:textbox inset="3.6pt,3.6pt,3.6pt,3.6pt">
            <w:txbxContent>
              <w:p>
                <w:pPr>
                  <w:pStyle w:val="style0"/>
                  <w:rPr/>
                </w:pPr>
                <w:r>
                  <w:rPr>
                    <w:rFonts w:ascii="宋体" w:cs="宋体" w:eastAsia="宋体" w:hAnsi="宋体"/>
                    <w:spacing w:val="-1"/>
                  </w:rPr>
                  <w:t>SJQU-QR-JW-011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cs="宋体" w:eastAsia="宋体" w:hAnsi="宋体"/>
                    <w:spacing w:val="-1"/>
                  </w:rPr>
                  <w:t>A0</w:t>
                </w:r>
                <w:r>
                  <w:rPr>
                    <w:rFonts w:ascii="宋体" w:cs="宋体" w:eastAsia="宋体" w:hAnsi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bdr w:val="nil"/>
        <w:lang w:val="en-US" w:bidi="ar-SA" w:eastAsia="zh-CN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>
      <w:widowControl w:val="false"/>
    </w:pPr>
    <w:rPr>
      <w:rFonts w:cs="Arial Unicode MS" w:eastAsia="Arial Unicode MS"/>
      <w:color w:val="000000"/>
      <w:kern w:val="2"/>
      <w:sz w:val="24"/>
      <w:szCs w:val="24"/>
      <w:u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next w:val="style31"/>
    <w:pPr>
      <w:widowControl w:val="false"/>
      <w:tabs>
        <w:tab w:val="center" w:leader="none" w:pos="4153"/>
        <w:tab w:val="right" w:leader="none" w:pos="8306"/>
      </w:tabs>
    </w:pPr>
    <w:rPr>
      <w:rFonts w:cs="Arial Unicode MS" w:eastAsia="Arial Unicode MS"/>
      <w:color w:val="000000"/>
      <w:kern w:val="2"/>
      <w:u w:color="000000"/>
    </w:rPr>
  </w:style>
  <w:style w:type="paragraph" w:styleId="style32">
    <w:name w:val="footer"/>
    <w:next w:val="style32"/>
    <w:pPr>
      <w:widowControl w:val="false"/>
      <w:tabs>
        <w:tab w:val="center" w:leader="none" w:pos="4153"/>
        <w:tab w:val="right" w:leader="none" w:pos="8306"/>
      </w:tabs>
    </w:pPr>
    <w:rPr>
      <w:rFonts w:ascii="Arial Unicode MS" w:cs="Arial Unicode MS" w:eastAsia="Arial Unicode MS" w:hAnsi="Arial Unicode MS" w:hint="eastAsia"/>
      <w:color w:val="000000"/>
      <w:kern w:val="2"/>
      <w:u w:color="000000"/>
    </w:rPr>
  </w:style>
  <w:style w:type="paragraph" w:customStyle="1" w:styleId="style4098">
    <w:name w:val="正文 A"/>
    <w:next w:val="style4098"/>
    <w:pPr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Words>699</Words>
  <Pages>2</Pages>
  <Characters>783</Characters>
  <Application>WPS Office</Application>
  <DocSecurity>0</DocSecurity>
  <Paragraphs>161</Paragraphs>
  <ScaleCrop>false</ScaleCrop>
  <LinksUpToDate>false</LinksUpToDate>
  <CharactersWithSpaces>804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2018-09-16T14:41:00Z</dcterms:created>
  <dc:creator>WPS Office</dc:creator>
  <lastModifiedBy>HLK-AL00</lastModifiedBy>
  <dcterms:modified xsi:type="dcterms:W3CDTF">2023-02-28T02:04:05Z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</Properties>
</file>