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楷体" w:hAnsi="楷体" w:eastAsia="楷体" w:cs="宋体"/>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WR5rUAAAACA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textAlignment w:val="center"/>
        <w:rPr>
          <w:b/>
          <w:sz w:val="28"/>
          <w:szCs w:val="30"/>
        </w:rPr>
      </w:pPr>
      <w:r>
        <w:rPr>
          <w:rFonts w:ascii="方正小标宋简体" w:hAnsi="宋体" w:eastAsiaTheme="minorEastAsia"/>
          <w:bCs/>
          <w:kern w:val="0"/>
          <w:sz w:val="40"/>
          <w:szCs w:val="40"/>
        </w:rPr>
        <w:t xml:space="preserve"> </w:t>
      </w:r>
      <w:r>
        <w:rPr>
          <w:rFonts w:hint="eastAsia"/>
          <w:b/>
          <w:sz w:val="28"/>
          <w:szCs w:val="30"/>
        </w:rPr>
        <w:t>【线性代数】</w:t>
      </w:r>
    </w:p>
    <w:p>
      <w:pPr>
        <w:shd w:val="clear" w:color="auto" w:fill="F5F5F5"/>
        <w:jc w:val="center"/>
        <w:textAlignment w:val="center"/>
        <w:rPr>
          <w:rFonts w:ascii="Arial" w:hAnsi="Arial" w:cs="Arial"/>
          <w:kern w:val="0"/>
          <w:sz w:val="24"/>
          <w:szCs w:val="24"/>
          <w:shd w:val="clear" w:color="auto" w:fill="FFFFFF" w:themeFill="background1"/>
        </w:rPr>
      </w:pPr>
      <w:r>
        <w:rPr>
          <w:rFonts w:hint="eastAsia"/>
          <w:b/>
          <w:sz w:val="24"/>
          <w:szCs w:val="24"/>
          <w:shd w:val="clear" w:color="auto" w:fill="FFFFFF" w:themeFill="background1"/>
        </w:rPr>
        <w:t>【</w:t>
      </w:r>
      <w:r>
        <w:rPr>
          <w:b/>
          <w:sz w:val="28"/>
          <w:szCs w:val="30"/>
        </w:rPr>
        <w:t>Linear  Algebra</w:t>
      </w:r>
      <w:r>
        <w:rPr>
          <w:rFonts w:hint="eastAsia"/>
          <w:b/>
          <w:sz w:val="24"/>
          <w:szCs w:val="24"/>
          <w:shd w:val="clear" w:color="auto" w:fill="FFFFFF" w:themeFill="background1"/>
        </w:rPr>
        <w:t xml:space="preserve">】 </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一、基本信息</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课程代码：</w:t>
      </w:r>
      <w:r>
        <w:rPr>
          <w:rFonts w:hint="eastAsia" w:asciiTheme="minorEastAsia" w:hAnsiTheme="minorEastAsia" w:eastAsiaTheme="minorEastAsia"/>
          <w:szCs w:val="21"/>
        </w:rPr>
        <w:t xml:space="preserve">【2100025】 </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课程学分：</w:t>
      </w:r>
      <w:r>
        <w:rPr>
          <w:rFonts w:hint="eastAsia" w:asciiTheme="minorEastAsia" w:hAnsiTheme="minorEastAsia" w:eastAsiaTheme="minorEastAsia"/>
          <w:szCs w:val="21"/>
        </w:rPr>
        <w:t>【2】</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面向专业：</w:t>
      </w:r>
      <w:r>
        <w:rPr>
          <w:rFonts w:hint="eastAsia" w:asciiTheme="minorEastAsia" w:hAnsiTheme="minorEastAsia" w:eastAsiaTheme="minorEastAsia"/>
          <w:szCs w:val="21"/>
        </w:rPr>
        <w:t>【数媒技术、计科、网络工程、软件工程、国贸、汽车服务、金融工程等】</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课程性质：</w:t>
      </w:r>
      <w:r>
        <w:rPr>
          <w:rFonts w:hint="eastAsia" w:asciiTheme="minorEastAsia" w:hAnsiTheme="minorEastAsia" w:eastAsiaTheme="minorEastAsia"/>
          <w:szCs w:val="21"/>
        </w:rPr>
        <w:t>【通识教育基础课】</w:t>
      </w:r>
    </w:p>
    <w:p>
      <w:pPr>
        <w:snapToGrid w:val="0"/>
        <w:spacing w:line="288" w:lineRule="auto"/>
        <w:ind w:firstLine="413" w:firstLineChars="196"/>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开课院系：</w:t>
      </w:r>
      <w:r>
        <w:rPr>
          <w:rFonts w:hint="eastAsia" w:asciiTheme="minorEastAsia" w:hAnsiTheme="minorEastAsia" w:eastAsiaTheme="minorEastAsia"/>
          <w:szCs w:val="21"/>
        </w:rPr>
        <w:t>教育学院</w:t>
      </w:r>
    </w:p>
    <w:p>
      <w:pPr>
        <w:snapToGrid w:val="0"/>
        <w:spacing w:line="288" w:lineRule="auto"/>
        <w:ind w:firstLine="413" w:firstLineChars="196"/>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使用教材：</w:t>
      </w:r>
    </w:p>
    <w:p>
      <w:pPr>
        <w:snapToGrid w:val="0"/>
        <w:spacing w:line="288" w:lineRule="auto"/>
        <w:ind w:firstLine="1470" w:firstLineChars="700"/>
        <w:textAlignment w:val="center"/>
        <w:rPr>
          <w:rFonts w:asciiTheme="minorEastAsia" w:hAnsiTheme="minorEastAsia" w:eastAsiaTheme="minorEastAsia"/>
          <w:szCs w:val="21"/>
        </w:rPr>
      </w:pPr>
      <w:r>
        <w:rPr>
          <w:rFonts w:hint="eastAsia" w:asciiTheme="minorEastAsia" w:hAnsiTheme="minorEastAsia" w:eastAsiaTheme="minorEastAsia"/>
          <w:szCs w:val="21"/>
        </w:rPr>
        <w:t>【线性代数  同济大学应用数学系编  高等教育出版社 第六版】</w:t>
      </w:r>
    </w:p>
    <w:p>
      <w:pPr>
        <w:snapToGrid w:val="0"/>
        <w:spacing w:line="288" w:lineRule="auto"/>
        <w:ind w:left="1470" w:leftChars="700"/>
        <w:textAlignment w:val="center"/>
        <w:rPr>
          <w:rFonts w:asciiTheme="minorEastAsia" w:hAnsiTheme="minorEastAsia" w:eastAsiaTheme="minorEastAsia"/>
          <w:szCs w:val="21"/>
        </w:rPr>
      </w:pPr>
      <w:r>
        <w:rPr>
          <w:rFonts w:hint="eastAsia" w:asciiTheme="minorEastAsia" w:hAnsiTheme="minorEastAsia" w:eastAsiaTheme="minorEastAsia"/>
          <w:szCs w:val="21"/>
        </w:rPr>
        <w:t>【线性代数学习辅导与习题全解 （第六版） 同济大学应用数学系编</w:t>
      </w:r>
    </w:p>
    <w:p>
      <w:pPr>
        <w:snapToGrid w:val="0"/>
        <w:spacing w:line="288" w:lineRule="auto"/>
        <w:ind w:left="1470" w:leftChars="700"/>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 高等教育出版社】</w:t>
      </w:r>
    </w:p>
    <w:p>
      <w:pPr>
        <w:snapToGrid w:val="0"/>
        <w:spacing w:line="288" w:lineRule="auto"/>
        <w:ind w:firstLine="1260" w:firstLineChars="600"/>
        <w:textAlignment w:val="center"/>
        <w:rPr>
          <w:rFonts w:asciiTheme="minorEastAsia" w:hAnsiTheme="minorEastAsia" w:eastAsiaTheme="minorEastAsia"/>
          <w:szCs w:val="21"/>
        </w:rPr>
      </w:pPr>
      <w:r>
        <w:rPr>
          <w:rFonts w:hint="eastAsia" w:asciiTheme="minorEastAsia" w:hAnsiTheme="minorEastAsia" w:eastAsiaTheme="minorEastAsia"/>
          <w:szCs w:val="21"/>
        </w:rPr>
        <w:t>参考教材 【线性代数及其应用  同济大学数学系编 高等教育出版社 第二版】</w:t>
      </w:r>
    </w:p>
    <w:p>
      <w:pPr>
        <w:autoSpaceDN w:val="0"/>
        <w:snapToGrid w:val="0"/>
        <w:spacing w:line="288" w:lineRule="auto"/>
        <w:ind w:firstLine="413" w:firstLineChars="196"/>
        <w:textAlignment w:val="center"/>
        <w:rPr>
          <w:rFonts w:asciiTheme="minorEastAsia" w:hAnsiTheme="minorEastAsia" w:eastAsiaTheme="minorEastAsia"/>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课程网站网址：</w:t>
      </w:r>
    </w:p>
    <w:p>
      <w:pPr>
        <w:autoSpaceDN w:val="0"/>
        <w:snapToGrid w:val="0"/>
        <w:spacing w:line="288" w:lineRule="auto"/>
        <w:ind w:firstLine="411" w:firstLineChars="196"/>
        <w:textAlignment w:val="center"/>
        <w:rPr>
          <w:rFonts w:hint="eastAsia" w:asciiTheme="minorEastAsia" w:hAnsiTheme="minorEastAsia" w:eastAsiaTheme="minorEastAsia"/>
          <w:b w:val="0"/>
          <w:bCs w:val="0"/>
          <w:szCs w:val="21"/>
          <w:shd w:val="clear" w:color="auto" w:fill="FFFFFF" w:themeFill="background1"/>
        </w:rPr>
      </w:pPr>
      <w:r>
        <w:rPr>
          <w:rFonts w:asciiTheme="minorEastAsia" w:hAnsiTheme="minorEastAsia" w:eastAsiaTheme="minorEastAsia"/>
          <w:b w:val="0"/>
          <w:bCs w:val="0"/>
          <w:szCs w:val="21"/>
          <w:shd w:val="clear" w:color="auto" w:fill="FFFFFF" w:themeFill="background1"/>
        </w:rPr>
        <w:t>https://mooc1.chaoxing.com/courseans/courseportal/223822284.html?clazzId=0</w:t>
      </w:r>
    </w:p>
    <w:p>
      <w:pPr>
        <w:autoSpaceDN w:val="0"/>
        <w:snapToGrid w:val="0"/>
        <w:spacing w:line="288" w:lineRule="auto"/>
        <w:ind w:firstLine="413" w:firstLineChars="196"/>
        <w:textAlignment w:val="center"/>
        <w:rPr>
          <w:rFonts w:asciiTheme="minorEastAsia" w:hAnsiTheme="minorEastAsia" w:eastAsiaTheme="minorEastAsia"/>
          <w:b/>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先修课程：无</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二、课程简介</w:t>
      </w:r>
    </w:p>
    <w:p>
      <w:pPr>
        <w:widowControl/>
        <w:spacing w:before="156" w:beforeLines="50" w:after="156" w:afterLines="50" w:line="288" w:lineRule="auto"/>
        <w:ind w:firstLine="315" w:firstLineChars="15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本课程以线性方程组解的讨论为核心内容，介绍行列式、矩阵基本理论、向量的线性相关性及线性方程组等有关知识。通过本课程的学习，使学生掌握线性代数的基本概念、基本理论和基本方法，培养应用线性代数的基本思想和基本方法来分析和解决实际问题的能力，并为学习后续相关课程和进一步扩大数学知识面奠定必要的数学基础，尤其是能初步培养学生的数学建模能力。线性代数是19世纪后期发展起来的一个数学分支，它是管理类、理工类各专业必修的一门基础理论课程，本课程与运筹学，现代管理学，计算机，数学建模等若干课程直接相关，也是硕士研究生入学考试数学科目中的一部分，它是为培养我国社会主义现代化建设所需要的高质量专门人才服务的。本课程具有较强的逻辑性，抽象性与广泛的实用性。线性代数是一门将理论、应用和计算融合起来的完美课程。随着计算机的普遍使用以及计算机功能的迅速增强，线性代数在应用中的重要性也在不断提高。尤其在计算机日益普及的今天，解大型线性方程组等问题已经成为技术人员经常遇到的课题。因此，本课程所介绍的方法广泛应用于各个学科。</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三、选课建议</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本课程适合理工类各专业及经济管理类学生在第一学年及管理类学生在第二学年的必修。</w:t>
      </w:r>
    </w:p>
    <w:p>
      <w:pPr>
        <w:snapToGrid w:val="0"/>
        <w:spacing w:line="288" w:lineRule="auto"/>
        <w:textAlignment w:val="center"/>
        <w:rPr>
          <w:rFonts w:asciiTheme="minorEastAsia" w:hAnsiTheme="minorEastAsia" w:eastAsiaTheme="minorEastAsia"/>
          <w:szCs w:val="21"/>
        </w:rPr>
      </w:pPr>
    </w:p>
    <w:p>
      <w:pPr>
        <w:widowControl/>
        <w:spacing w:before="156" w:beforeLines="50" w:after="156" w:afterLines="50" w:line="288" w:lineRule="auto"/>
        <w:ind w:firstLine="360" w:firstLineChars="150"/>
        <w:jc w:val="left"/>
        <w:textAlignment w:val="center"/>
        <w:rPr>
          <w:rFonts w:ascii="黑体" w:hAnsi="宋体" w:eastAsia="黑体"/>
          <w:sz w:val="24"/>
        </w:rPr>
      </w:pPr>
      <w:r>
        <w:rPr>
          <w:rFonts w:hint="eastAsia" w:ascii="黑体" w:hAnsi="宋体" w:eastAsia="黑体"/>
          <w:sz w:val="24"/>
        </w:rPr>
        <w:t>四、课程目标/课程预期学习成果（预期学习成果要可测量/能够证明）</w:t>
      </w:r>
    </w:p>
    <w:tbl>
      <w:tblPr>
        <w:tblStyle w:val="5"/>
        <w:tblpPr w:leftFromText="180" w:rightFromText="180" w:vertAnchor="text" w:horzAnchor="page" w:tblpX="2014" w:tblpY="152"/>
        <w:tblOverlap w:val="never"/>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74"/>
        <w:gridCol w:w="2928"/>
        <w:gridCol w:w="173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snapToGrid w:val="0"/>
              <w:spacing w:line="288" w:lineRule="auto"/>
              <w:jc w:val="center"/>
              <w:textAlignment w:val="center"/>
              <w:rPr>
                <w:b/>
                <w:sz w:val="20"/>
                <w:szCs w:val="20"/>
              </w:rPr>
            </w:pPr>
            <w:r>
              <w:rPr>
                <w:rFonts w:hint="eastAsia"/>
                <w:b/>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textAlignment w:val="center"/>
              <w:rPr>
                <w:b/>
                <w:sz w:val="20"/>
                <w:szCs w:val="20"/>
              </w:rPr>
            </w:pPr>
            <w:r>
              <w:rPr>
                <w:rFonts w:hint="eastAsia"/>
                <w:b/>
                <w:sz w:val="20"/>
                <w:szCs w:val="20"/>
              </w:rPr>
              <w:t>课程预期</w:t>
            </w:r>
          </w:p>
          <w:p>
            <w:pPr>
              <w:snapToGrid w:val="0"/>
              <w:spacing w:line="288" w:lineRule="auto"/>
              <w:jc w:val="center"/>
              <w:textAlignment w:val="center"/>
              <w:rPr>
                <w:b/>
                <w:sz w:val="20"/>
                <w:szCs w:val="20"/>
              </w:rPr>
            </w:pPr>
            <w:r>
              <w:rPr>
                <w:rFonts w:hint="eastAsia"/>
                <w:b/>
                <w:sz w:val="20"/>
                <w:szCs w:val="20"/>
              </w:rPr>
              <w:t>学习成果</w:t>
            </w:r>
          </w:p>
        </w:tc>
        <w:tc>
          <w:tcPr>
            <w:tcW w:w="292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课程目标</w:t>
            </w:r>
          </w:p>
          <w:p>
            <w:pPr>
              <w:snapToGrid w:val="0"/>
              <w:spacing w:line="288" w:lineRule="auto"/>
              <w:jc w:val="center"/>
              <w:textAlignment w:val="center"/>
              <w:rPr>
                <w:b/>
                <w:sz w:val="20"/>
                <w:szCs w:val="20"/>
              </w:rPr>
            </w:pPr>
            <w:r>
              <w:rPr>
                <w:rFonts w:hint="eastAsia"/>
                <w:b/>
                <w:sz w:val="20"/>
                <w:szCs w:val="20"/>
              </w:rPr>
              <w:t>（细化的预期学习成果）</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0112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表达沟通。参与课堂互动，能够用书面或者口头的方式，表达自己的观点，对不同的观点在充分尊重的前提下勇于质疑和论证。</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课堂互动</w:t>
            </w:r>
          </w:p>
          <w:p>
            <w:pPr>
              <w:snapToGrid w:val="0"/>
              <w:spacing w:line="288" w:lineRule="auto"/>
              <w:jc w:val="center"/>
              <w:textAlignment w:val="center"/>
              <w:rPr>
                <w:rFonts w:ascii="宋体"/>
                <w:sz w:val="18"/>
                <w:szCs w:val="18"/>
              </w:rPr>
            </w:pPr>
            <w:r>
              <w:rPr>
                <w:rFonts w:hint="eastAsia" w:ascii="宋体"/>
                <w:sz w:val="18"/>
                <w:szCs w:val="18"/>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2</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0212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自主学习。能制定学习目标并为之实施学习计划、持续改进，养成良好的学习习惯和掌握自主学习的方法。</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textAlignment w:val="center"/>
              <w:rPr>
                <w:rFonts w:ascii="宋体"/>
                <w:sz w:val="18"/>
                <w:szCs w:val="18"/>
              </w:rPr>
            </w:pPr>
            <w:r>
              <w:rPr>
                <w:rFonts w:hint="eastAsia" w:ascii="宋体"/>
                <w:sz w:val="18"/>
                <w:szCs w:val="18"/>
              </w:rPr>
              <w:t>按时完成作业，</w:t>
            </w:r>
            <w:r>
              <w:rPr>
                <w:rFonts w:ascii="宋体"/>
                <w:sz w:val="18"/>
                <w:szCs w:val="18"/>
              </w:rPr>
              <w:t>通过阶段考试和期终考试检验学习目标的完成度</w:t>
            </w:r>
            <w:r>
              <w:rPr>
                <w:rFonts w:hint="eastAsia" w:ascii="宋体"/>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平时作业</w:t>
            </w:r>
          </w:p>
          <w:p>
            <w:pPr>
              <w:snapToGrid w:val="0"/>
              <w:spacing w:line="288" w:lineRule="auto"/>
              <w:jc w:val="center"/>
              <w:textAlignment w:val="center"/>
              <w:rPr>
                <w:rFonts w:ascii="宋体"/>
                <w:sz w:val="18"/>
                <w:szCs w:val="18"/>
              </w:rPr>
            </w:pPr>
            <w:r>
              <w:rPr>
                <w:rFonts w:ascii="宋体"/>
                <w:sz w:val="18"/>
                <w:szCs w:val="18"/>
              </w:rPr>
              <w:t>阶段考试</w:t>
            </w:r>
          </w:p>
          <w:p>
            <w:pPr>
              <w:snapToGrid w:val="0"/>
              <w:spacing w:line="288" w:lineRule="auto"/>
              <w:jc w:val="center"/>
              <w:textAlignment w:val="center"/>
              <w:rPr>
                <w:rFonts w:ascii="宋体"/>
                <w:sz w:val="18"/>
                <w:szCs w:val="18"/>
              </w:rPr>
            </w:pPr>
            <w:r>
              <w:rPr>
                <w:rFonts w:ascii="宋体"/>
                <w:sz w:val="18"/>
                <w:szCs w:val="18"/>
              </w:rPr>
              <w:t>期终考试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3</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0712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助人为乐。在困难中结伴而行，懂得合作学习，在相互询问和探索中获得真知。</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课堂互动</w:t>
            </w:r>
          </w:p>
          <w:p>
            <w:pPr>
              <w:snapToGrid w:val="0"/>
              <w:spacing w:line="288" w:lineRule="auto"/>
              <w:ind w:firstLine="360" w:firstLineChars="200"/>
              <w:textAlignment w:val="center"/>
              <w:rPr>
                <w:rFonts w:ascii="宋体"/>
                <w:sz w:val="18"/>
                <w:szCs w:val="18"/>
              </w:rPr>
            </w:pPr>
            <w:r>
              <w:rPr>
                <w:rFonts w:hint="eastAsia" w:ascii="宋体"/>
                <w:sz w:val="18"/>
                <w:szCs w:val="18"/>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平时表现</w:t>
            </w:r>
          </w:p>
          <w:p>
            <w:pPr>
              <w:snapToGrid w:val="0"/>
              <w:spacing w:line="288" w:lineRule="auto"/>
              <w:jc w:val="center"/>
              <w:textAlignment w:val="center"/>
              <w:rPr>
                <w:rFonts w:ascii="宋体"/>
                <w:sz w:val="18"/>
                <w:szCs w:val="18"/>
              </w:rPr>
            </w:pPr>
            <w:r>
              <w:rPr>
                <w:rFonts w:hint="eastAsia" w:ascii="宋体"/>
                <w:sz w:val="18"/>
                <w:szCs w:val="18"/>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4</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0412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诚实守信。勇于查找自身存在的问题，用从课程中学到的方法分析和解决问题。</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210" w:leftChars="100" w:firstLine="180" w:firstLineChars="100"/>
              <w:textAlignment w:val="center"/>
              <w:rPr>
                <w:rFonts w:ascii="宋体"/>
                <w:sz w:val="18"/>
                <w:szCs w:val="18"/>
              </w:rPr>
            </w:pPr>
            <w:r>
              <w:rPr>
                <w:rFonts w:hint="eastAsia" w:ascii="宋体"/>
                <w:sz w:val="18"/>
                <w:szCs w:val="18"/>
              </w:rPr>
              <w:t>诚信教育</w:t>
            </w:r>
          </w:p>
          <w:p>
            <w:pPr>
              <w:snapToGrid w:val="0"/>
              <w:spacing w:line="288" w:lineRule="auto"/>
              <w:ind w:left="210" w:leftChars="100" w:firstLine="180" w:firstLineChars="100"/>
              <w:textAlignment w:val="center"/>
              <w:rPr>
                <w:rFonts w:ascii="宋体"/>
                <w:sz w:val="18"/>
                <w:szCs w:val="18"/>
              </w:rPr>
            </w:pPr>
            <w:r>
              <w:rPr>
                <w:rFonts w:hint="eastAsia" w:ascii="宋体"/>
                <w:sz w:val="18"/>
                <w:szCs w:val="18"/>
              </w:rPr>
              <w:t xml:space="preserve"> 复习课</w:t>
            </w:r>
          </w:p>
          <w:p>
            <w:pPr>
              <w:snapToGrid w:val="0"/>
              <w:spacing w:line="288" w:lineRule="auto"/>
              <w:ind w:firstLine="360" w:firstLineChars="200"/>
              <w:textAlignment w:val="center"/>
              <w:rPr>
                <w:rFonts w:ascii="宋体"/>
                <w:sz w:val="18"/>
                <w:szCs w:val="18"/>
              </w:rPr>
            </w:pPr>
            <w:r>
              <w:rPr>
                <w:rFonts w:hint="eastAsia" w:ascii="宋体"/>
                <w:sz w:val="18"/>
                <w:szCs w:val="18"/>
              </w:rPr>
              <w:t>总结和反思</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 xml:space="preserve">平时作业 </w:t>
            </w:r>
            <w:r>
              <w:rPr>
                <w:rFonts w:ascii="宋体"/>
                <w:sz w:val="18"/>
                <w:szCs w:val="18"/>
              </w:rPr>
              <w:t xml:space="preserve"> 阶段考试</w:t>
            </w:r>
          </w:p>
          <w:p>
            <w:pPr>
              <w:snapToGrid w:val="0"/>
              <w:spacing w:line="288" w:lineRule="auto"/>
              <w:jc w:val="center"/>
              <w:textAlignment w:val="center"/>
              <w:rPr>
                <w:rFonts w:ascii="宋体"/>
                <w:sz w:val="18"/>
                <w:szCs w:val="18"/>
              </w:rPr>
            </w:pPr>
            <w:r>
              <w:rPr>
                <w:rFonts w:ascii="宋体"/>
                <w:sz w:val="18"/>
                <w:szCs w:val="18"/>
              </w:rPr>
              <w:t>期终考试</w:t>
            </w:r>
          </w:p>
        </w:tc>
      </w:tr>
    </w:tbl>
    <w:p>
      <w:pPr>
        <w:snapToGrid w:val="0"/>
        <w:spacing w:line="288" w:lineRule="auto"/>
        <w:textAlignment w:val="center"/>
        <w:rPr>
          <w:rFonts w:asciiTheme="minorEastAsia" w:hAnsiTheme="minorEastAsia" w:eastAsiaTheme="minorEastAsia"/>
          <w:szCs w:val="21"/>
        </w:rPr>
      </w:pPr>
    </w:p>
    <w:p>
      <w:pPr>
        <w:widowControl/>
        <w:spacing w:before="156" w:beforeLines="50" w:after="156" w:afterLines="50" w:line="288" w:lineRule="auto"/>
        <w:ind w:firstLine="360" w:firstLineChars="150"/>
        <w:jc w:val="left"/>
        <w:textAlignment w:val="center"/>
        <w:rPr>
          <w:rFonts w:ascii="黑体" w:hAnsi="宋体" w:eastAsia="黑体"/>
          <w:sz w:val="24"/>
        </w:rPr>
      </w:pPr>
      <w:r>
        <w:rPr>
          <w:rFonts w:hint="eastAsia" w:ascii="黑体" w:hAnsi="宋体" w:eastAsia="黑体"/>
          <w:sz w:val="24"/>
        </w:rPr>
        <w:t>五、课程内容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第一章 行列式</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二阶与三阶行列式  n阶行列式的定义 行列式的性质 行列式按行（列）展开。</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（1）理解二阶、三阶行列式的概念，掌握二阶与三阶行列式的计算，了解 n阶行列式的概念。</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（2）了解行列式的性质，掌握用行列式的性质计算行列式。</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（3）了解行列式的展开，掌握用行列式按行展开的法则计算行列式。</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第二章 矩阵及其运算</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矩阵的概念 矩阵的运算 逆矩阵 矩阵分块法</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（1）理解矩阵的概念，掌握矩阵的运算法则。</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（2）理解逆矩阵的概念，掌握逆矩阵的运算规则，会用两个基本公式：</w:t>
      </w:r>
      <w:r>
        <w:rPr>
          <w:rFonts w:hint="eastAsia" w:asciiTheme="minorEastAsia" w:hAnsiTheme="minorEastAsia" w:eastAsiaTheme="minorEastAsia"/>
          <w:szCs w:val="21"/>
        </w:rPr>
        <w:object>
          <v:shape id="_x0000_i1025" o:spt="75" type="#_x0000_t75" style="height:20.5pt;width:58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heme="minorEastAsia" w:hAnsiTheme="minorEastAsia" w:eastAsiaTheme="minorEastAsia"/>
          <w:szCs w:val="21"/>
        </w:rPr>
        <w:t>，</w:t>
      </w:r>
      <w:r>
        <w:rPr>
          <w:rFonts w:hint="eastAsia" w:asciiTheme="minorEastAsia" w:hAnsiTheme="minorEastAsia" w:eastAsiaTheme="minorEastAsia"/>
          <w:szCs w:val="21"/>
        </w:rPr>
        <w:object>
          <v:shape id="_x0000_i1026" o:spt="75" type="#_x0000_t75" style="height:23pt;width:54.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heme="minorEastAsia" w:hAnsiTheme="minorEastAsia" w:eastAsiaTheme="minorEastAsia"/>
          <w:szCs w:val="21"/>
        </w:rPr>
        <w:t>，会用伴随矩阵求二阶和三阶矩阵的逆矩阵。</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（3）了解克拉默法则，会用克拉默法解简单的线性方程组。</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（4）理解分块矩阵的概念，掌握分块矩阵的运算规则。</w:t>
      </w:r>
    </w:p>
    <w:p>
      <w:pPr>
        <w:snapToGrid w:val="0"/>
        <w:spacing w:line="288" w:lineRule="auto"/>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第三章 矩阵的初等变换与线性方程组</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矩阵的初等变换 矩阵的秩 线性方程组的解。</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（1）理解矩阵的初等变换，掌握矩阵的初等变换运算。</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（2）理解矩阵的秩的概念，掌握矩阵秩的性质。</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（3）掌握用初等变换求矩阵的秩、求逆矩阵、求解线性方程组。</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第四章 向量组的线性相关性</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向量组及其线性组合 向量组的线性相关性 向量组的秩 线性方程组的解的结构 </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（1）理解向量组的线性相关性、最大无关组、秩的概念，掌握判定向量组线性相关性的方法。</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（2）会用初等变换法求向量组的最大无关组与向量组的秩。</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（3）了解线性方程组的解的结构。</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80" w:firstLineChars="200"/>
        <w:textAlignment w:val="center"/>
        <w:rPr>
          <w:rFonts w:ascii="黑体" w:hAnsi="宋体" w:eastAsia="黑体"/>
          <w:sz w:val="24"/>
        </w:rPr>
      </w:pPr>
      <w:r>
        <w:rPr>
          <w:rFonts w:hint="eastAsia" w:ascii="黑体" w:hAnsi="宋体" w:eastAsia="黑体"/>
          <w:sz w:val="24"/>
        </w:rPr>
        <w:t>六、评价方式与成绩</w:t>
      </w:r>
    </w:p>
    <w:tbl>
      <w:tblPr>
        <w:tblStyle w:val="5"/>
        <w:tblpPr w:leftFromText="180" w:rightFromText="180" w:vertAnchor="text" w:horzAnchor="margin" w:tblpY="279"/>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textAlignment w:val="center"/>
              <w:rPr>
                <w:rFonts w:asciiTheme="minorEastAsia" w:hAnsiTheme="minorEastAsia" w:eastAsiaTheme="minorEastAsia"/>
                <w:bCs/>
                <w:szCs w:val="21"/>
              </w:rPr>
            </w:pPr>
            <w:r>
              <w:rPr>
                <w:rFonts w:hint="eastAsia" w:asciiTheme="minorEastAsia" w:hAnsiTheme="minorEastAsia" w:eastAsiaTheme="minorEastAsia"/>
                <w:bCs/>
                <w:szCs w:val="21"/>
              </w:rPr>
              <w:t>总评构成（1</w:t>
            </w:r>
            <w:r>
              <w:rPr>
                <w:rFonts w:asciiTheme="minorEastAsia" w:hAnsiTheme="minorEastAsia" w:eastAsiaTheme="minorEastAsia"/>
                <w:bCs/>
                <w:szCs w:val="21"/>
              </w:rPr>
              <w:t>+</w:t>
            </w:r>
            <w:r>
              <w:rPr>
                <w:rFonts w:hint="eastAsia" w:asciiTheme="minorEastAsia" w:hAnsiTheme="minorEastAsia" w:eastAsiaTheme="minorEastAsia"/>
                <w:bCs/>
                <w:szCs w:val="21"/>
              </w:rPr>
              <w:t>X）</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评价方式</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期终考试（闭卷）</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 xml:space="preserve">阶段测验 </w:t>
            </w:r>
            <w:r>
              <w:rPr>
                <w:rFonts w:hint="eastAsia" w:asciiTheme="minorEastAsia" w:hAnsiTheme="minorEastAsia" w:eastAsiaTheme="minorEastAsia"/>
                <w:szCs w:val="21"/>
              </w:rPr>
              <w:t xml:space="preserve"> </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X2</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szCs w:val="21"/>
              </w:rPr>
              <w:t>平时作业</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X3</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平时表现</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bl>
    <w:p>
      <w:pPr>
        <w:snapToGrid w:val="0"/>
        <w:spacing w:line="288" w:lineRule="auto"/>
        <w:textAlignment w:val="center"/>
        <w:rPr>
          <w:rFonts w:asciiTheme="minorEastAsia" w:hAnsiTheme="minorEastAsia" w:eastAsiaTheme="minorEastAsia"/>
          <w:szCs w:val="21"/>
        </w:rPr>
      </w:pPr>
    </w:p>
    <w:p>
      <w:pPr>
        <w:snapToGrid w:val="0"/>
        <w:spacing w:line="288" w:lineRule="auto"/>
        <w:textAlignment w:val="center"/>
        <w:rPr>
          <w:sz w:val="28"/>
          <w:szCs w:val="28"/>
        </w:rPr>
      </w:pPr>
    </w:p>
    <w:p>
      <w:pPr>
        <w:snapToGrid w:val="0"/>
        <w:spacing w:line="288" w:lineRule="auto"/>
        <w:textAlignment w:val="center"/>
        <w:rPr>
          <w:sz w:val="28"/>
          <w:szCs w:val="28"/>
        </w:rPr>
      </w:pPr>
      <w:r>
        <w:rPr>
          <w:rFonts w:hint="eastAsia"/>
          <w:sz w:val="28"/>
          <w:szCs w:val="28"/>
        </w:rPr>
        <w:t>撰写人：杨伟</w:t>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系主任审核签名：陈苏</w:t>
      </w:r>
      <w:bookmarkStart w:id="0" w:name="_GoBack"/>
      <w:bookmarkEnd w:id="0"/>
      <w:r>
        <w:rPr>
          <w:rFonts w:hint="eastAsia"/>
          <w:sz w:val="28"/>
          <w:szCs w:val="28"/>
        </w:rPr>
        <w:t>婷</w:t>
      </w:r>
      <w:r>
        <w:rPr>
          <w:sz w:val="28"/>
          <w:szCs w:val="28"/>
        </w:rPr>
        <w:t xml:space="preserve">    </w:t>
      </w:r>
      <w:r>
        <w:rPr>
          <w:rFonts w:hint="eastAsia"/>
          <w:sz w:val="28"/>
          <w:szCs w:val="28"/>
        </w:rPr>
        <w:t>审核时间：202</w:t>
      </w:r>
      <w:r>
        <w:rPr>
          <w:sz w:val="28"/>
          <w:szCs w:val="28"/>
        </w:rPr>
        <w:t>3/2/17</w:t>
      </w:r>
    </w:p>
    <w:p>
      <w:pP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2Q3M2YyNzMzY2JlZjI5NWJhNDk3YzRiMGFjZjMifQ=="/>
  </w:docVars>
  <w:rsids>
    <w:rsidRoot w:val="00B7651F"/>
    <w:rsid w:val="0007362F"/>
    <w:rsid w:val="0009510F"/>
    <w:rsid w:val="00143967"/>
    <w:rsid w:val="001F4A01"/>
    <w:rsid w:val="00256B39"/>
    <w:rsid w:val="0026033C"/>
    <w:rsid w:val="002E3721"/>
    <w:rsid w:val="002F1A16"/>
    <w:rsid w:val="00313BBA"/>
    <w:rsid w:val="0032602E"/>
    <w:rsid w:val="003367AE"/>
    <w:rsid w:val="003F4FFD"/>
    <w:rsid w:val="004100B0"/>
    <w:rsid w:val="00470F10"/>
    <w:rsid w:val="005467DC"/>
    <w:rsid w:val="00553D03"/>
    <w:rsid w:val="005B2B6D"/>
    <w:rsid w:val="005B4B4E"/>
    <w:rsid w:val="005C3143"/>
    <w:rsid w:val="005E4014"/>
    <w:rsid w:val="00624FE1"/>
    <w:rsid w:val="006D5A0B"/>
    <w:rsid w:val="007208D6"/>
    <w:rsid w:val="007954AD"/>
    <w:rsid w:val="008B397C"/>
    <w:rsid w:val="008B47F4"/>
    <w:rsid w:val="008E12C6"/>
    <w:rsid w:val="00900019"/>
    <w:rsid w:val="0099063E"/>
    <w:rsid w:val="00A355FC"/>
    <w:rsid w:val="00B511A5"/>
    <w:rsid w:val="00B7651F"/>
    <w:rsid w:val="00C30626"/>
    <w:rsid w:val="00C56E09"/>
    <w:rsid w:val="00C721FD"/>
    <w:rsid w:val="00CE2B3B"/>
    <w:rsid w:val="00D8549D"/>
    <w:rsid w:val="00E16D30"/>
    <w:rsid w:val="00E33169"/>
    <w:rsid w:val="00E70904"/>
    <w:rsid w:val="00EE1EFB"/>
    <w:rsid w:val="00EE2108"/>
    <w:rsid w:val="00EF44B1"/>
    <w:rsid w:val="00F11EF6"/>
    <w:rsid w:val="00F35AA0"/>
    <w:rsid w:val="00FE6815"/>
    <w:rsid w:val="00FF2C61"/>
    <w:rsid w:val="00FF454B"/>
    <w:rsid w:val="024B0C39"/>
    <w:rsid w:val="06CD4C74"/>
    <w:rsid w:val="07683D1D"/>
    <w:rsid w:val="07910517"/>
    <w:rsid w:val="089608E6"/>
    <w:rsid w:val="0D370C75"/>
    <w:rsid w:val="11376F42"/>
    <w:rsid w:val="1252010C"/>
    <w:rsid w:val="13997C88"/>
    <w:rsid w:val="16BB53BA"/>
    <w:rsid w:val="170C74B4"/>
    <w:rsid w:val="1B6470FE"/>
    <w:rsid w:val="2327110B"/>
    <w:rsid w:val="24192CCC"/>
    <w:rsid w:val="24935A77"/>
    <w:rsid w:val="29603850"/>
    <w:rsid w:val="2C301A17"/>
    <w:rsid w:val="2D54567D"/>
    <w:rsid w:val="32634F4C"/>
    <w:rsid w:val="339B7874"/>
    <w:rsid w:val="34DA7405"/>
    <w:rsid w:val="38C57790"/>
    <w:rsid w:val="39CA4B35"/>
    <w:rsid w:val="3CD52CE1"/>
    <w:rsid w:val="3D3C55B6"/>
    <w:rsid w:val="41736F2E"/>
    <w:rsid w:val="4C653F3E"/>
    <w:rsid w:val="4D1156A2"/>
    <w:rsid w:val="507833C7"/>
    <w:rsid w:val="54875D3D"/>
    <w:rsid w:val="5C607C95"/>
    <w:rsid w:val="5D825742"/>
    <w:rsid w:val="5EEC5FAB"/>
    <w:rsid w:val="63333E75"/>
    <w:rsid w:val="66BA4938"/>
    <w:rsid w:val="6A735F93"/>
    <w:rsid w:val="6EC86481"/>
    <w:rsid w:val="6F5042C2"/>
    <w:rsid w:val="702A0B29"/>
    <w:rsid w:val="72B333C6"/>
    <w:rsid w:val="773E764D"/>
    <w:rsid w:val="794A60D6"/>
    <w:rsid w:val="796D0776"/>
    <w:rsid w:val="7B340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1705</Words>
  <Characters>1833</Characters>
  <Lines>14</Lines>
  <Paragraphs>4</Paragraphs>
  <TotalTime>12</TotalTime>
  <ScaleCrop>false</ScaleCrop>
  <LinksUpToDate>false</LinksUpToDate>
  <CharactersWithSpaces>1889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2022-09-29T02:27:00Z</dcterms:created>
  <dc:creator>juvg</dc:creator>
  <cp:lastModifiedBy>wyang</cp:lastModifiedBy>
  <dcterms:modified xsi:type="dcterms:W3CDTF">2023-02-16T03:50:50Z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ICV">
    <vt:lpwstr>0E85B71D32E242DB8E4C668986297E50</vt:lpwstr>
  </property>
</Properties>
</file>