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6" w:firstLineChars="1283"/>
        <w:rPr>
          <w:sz w:val="30"/>
          <w:szCs w:val="30"/>
        </w:rPr>
      </w:pPr>
      <w:r>
        <w:rPr>
          <w:rFonts w:hint="eastAsia"/>
          <w:b/>
          <w:sz w:val="28"/>
          <w:szCs w:val="30"/>
          <w:highlight w:val="none"/>
        </w:rPr>
        <w:t>【</w:t>
      </w:r>
      <w:r>
        <w:rPr>
          <w:rFonts w:hint="eastAsia"/>
          <w:sz w:val="30"/>
          <w:szCs w:val="30"/>
          <w:lang w:val="en-US" w:eastAsia="zh-CN"/>
        </w:rPr>
        <w:t>趣味推理</w:t>
      </w:r>
      <w:r>
        <w:rPr>
          <w:rFonts w:hint="eastAsia"/>
          <w:b/>
          <w:sz w:val="28"/>
          <w:szCs w:val="30"/>
          <w:highlight w:val="none"/>
        </w:rPr>
        <w:t>】</w:t>
      </w:r>
    </w:p>
    <w:p>
      <w:pPr>
        <w:ind w:firstLine="2799" w:firstLineChars="933"/>
        <w:rPr>
          <w:sz w:val="30"/>
          <w:szCs w:val="30"/>
        </w:rPr>
      </w:pPr>
      <w:r>
        <w:rPr>
          <w:rFonts w:hint="eastAsia"/>
          <w:sz w:val="30"/>
          <w:szCs w:val="30"/>
        </w:rPr>
        <w:t xml:space="preserve">Interesting </w:t>
      </w:r>
      <w:r>
        <w:rPr>
          <w:rFonts w:hint="eastAsia"/>
          <w:sz w:val="30"/>
          <w:szCs w:val="30"/>
          <w:lang w:val="en-US" w:eastAsia="zh-CN"/>
        </w:rPr>
        <w:t>T</w:t>
      </w:r>
      <w:r>
        <w:rPr>
          <w:rFonts w:hint="eastAsia"/>
          <w:sz w:val="30"/>
          <w:szCs w:val="30"/>
        </w:rPr>
        <w:t xml:space="preserve">heory of </w:t>
      </w:r>
      <w:r>
        <w:rPr>
          <w:rFonts w:hint="eastAsia"/>
          <w:sz w:val="30"/>
          <w:szCs w:val="30"/>
          <w:lang w:val="en-US" w:eastAsia="zh-CN"/>
        </w:rPr>
        <w:t>R</w:t>
      </w:r>
      <w:r>
        <w:rPr>
          <w:rFonts w:hint="eastAsia"/>
          <w:sz w:val="30"/>
          <w:szCs w:val="30"/>
        </w:rPr>
        <w:t xml:space="preserve">easoning </w:t>
      </w:r>
    </w:p>
    <w:p>
      <w:pPr>
        <w:ind w:left="0" w:leftChars="0" w:firstLine="0" w:firstLineChars="0"/>
        <w:rPr>
          <w:rFonts w:hint="eastAsia" w:ascii="黑体" w:hAnsi="黑体" w:eastAsia="黑体" w:cs="黑体"/>
          <w:b/>
          <w:bCs/>
          <w:color w:val="008080"/>
          <w:sz w:val="24"/>
          <w:szCs w:val="24"/>
        </w:rPr>
      </w:pPr>
      <w:r>
        <w:rPr>
          <w:rFonts w:hint="eastAsia" w:ascii="黑体" w:hAnsi="黑体" w:eastAsia="黑体" w:cs="黑体"/>
          <w:b/>
          <w:bCs/>
          <w:sz w:val="24"/>
          <w:szCs w:val="24"/>
        </w:rPr>
        <w:t>一、基本信息</w:t>
      </w:r>
    </w:p>
    <w:p>
      <w:pPr>
        <w:snapToGrid w:val="0"/>
        <w:spacing w:line="288" w:lineRule="auto"/>
        <w:ind w:firstLine="394" w:firstLineChars="196"/>
        <w:rPr>
          <w:rFonts w:ascii="Calibri" w:hAnsi="Calibri" w:eastAsia="宋体"/>
          <w:color w:val="000000"/>
          <w:sz w:val="20"/>
          <w:szCs w:val="20"/>
        </w:rPr>
      </w:pPr>
      <w:r>
        <w:rPr>
          <w:rFonts w:hint="eastAsia" w:ascii="Calibri" w:hAnsi="Calibri" w:eastAsia="宋体"/>
          <w:b/>
          <w:bCs/>
          <w:color w:val="000000"/>
          <w:sz w:val="20"/>
          <w:szCs w:val="20"/>
        </w:rPr>
        <w:t>课程代码：</w:t>
      </w:r>
      <w:r>
        <w:rPr>
          <w:rFonts w:hint="eastAsia" w:ascii="宋体" w:hAnsi="宋体" w:eastAsia="宋体"/>
          <w:sz w:val="21"/>
          <w:szCs w:val="21"/>
          <w:lang w:eastAsia="zh-CN"/>
        </w:rPr>
        <w:t>203</w:t>
      </w:r>
      <w:r>
        <w:rPr>
          <w:rFonts w:hint="eastAsia" w:ascii="宋体" w:hAnsi="宋体" w:eastAsia="宋体"/>
          <w:sz w:val="21"/>
          <w:szCs w:val="21"/>
          <w:lang w:val="en-US" w:eastAsia="zh-CN"/>
        </w:rPr>
        <w:t>8061</w:t>
      </w:r>
    </w:p>
    <w:p>
      <w:pPr>
        <w:snapToGrid w:val="0"/>
        <w:spacing w:line="288" w:lineRule="auto"/>
        <w:ind w:firstLine="394" w:firstLineChars="196"/>
        <w:rPr>
          <w:rFonts w:ascii="Calibri" w:hAnsi="Calibri" w:eastAsia="宋体"/>
          <w:color w:val="000000"/>
          <w:sz w:val="21"/>
          <w:szCs w:val="21"/>
        </w:rPr>
      </w:pPr>
      <w:r>
        <w:rPr>
          <w:rFonts w:hint="eastAsia" w:ascii="Calibri" w:hAnsi="Calibri" w:eastAsia="宋体"/>
          <w:b/>
          <w:bCs/>
          <w:color w:val="000000"/>
          <w:sz w:val="20"/>
          <w:szCs w:val="20"/>
        </w:rPr>
        <w:t>课程学分：</w:t>
      </w:r>
      <w:r>
        <w:rPr>
          <w:rFonts w:hint="eastAsia" w:ascii="Calibri" w:hAnsi="Calibri" w:eastAsia="宋体"/>
          <w:color w:val="000000"/>
          <w:sz w:val="20"/>
          <w:szCs w:val="20"/>
          <w:lang w:val="en-US" w:eastAsia="zh-CN"/>
        </w:rPr>
        <w:t>2</w:t>
      </w:r>
    </w:p>
    <w:p>
      <w:pPr>
        <w:snapToGrid w:val="0"/>
        <w:spacing w:line="288" w:lineRule="auto"/>
        <w:ind w:firstLine="394" w:firstLineChars="196"/>
        <w:rPr>
          <w:rFonts w:ascii="Calibri" w:hAnsi="Calibri" w:eastAsia="宋体"/>
          <w:color w:val="000000"/>
          <w:sz w:val="21"/>
          <w:szCs w:val="21"/>
        </w:rPr>
      </w:pPr>
      <w:r>
        <w:rPr>
          <w:rFonts w:hint="eastAsia" w:ascii="Calibri" w:hAnsi="Calibri" w:eastAsia="宋体"/>
          <w:b/>
          <w:bCs/>
          <w:color w:val="000000"/>
          <w:sz w:val="20"/>
          <w:szCs w:val="20"/>
        </w:rPr>
        <w:t>面向专业：</w:t>
      </w:r>
      <w:r>
        <w:rPr>
          <w:rFonts w:hint="eastAsia" w:ascii="Calibri" w:hAnsi="Calibri" w:eastAsia="宋体"/>
          <w:color w:val="000000"/>
          <w:sz w:val="20"/>
          <w:szCs w:val="20"/>
          <w:lang w:eastAsia="zh-CN"/>
        </w:rPr>
        <w:t>本科各专业</w:t>
      </w:r>
    </w:p>
    <w:p>
      <w:pPr>
        <w:snapToGrid w:val="0"/>
        <w:spacing w:line="288" w:lineRule="auto"/>
        <w:ind w:firstLine="394" w:firstLineChars="196"/>
        <w:rPr>
          <w:rFonts w:ascii="Calibri" w:hAnsi="Calibri" w:eastAsia="宋体"/>
          <w:color w:val="000000"/>
          <w:sz w:val="20"/>
          <w:szCs w:val="20"/>
        </w:rPr>
      </w:pPr>
      <w:r>
        <w:rPr>
          <w:rFonts w:hint="eastAsia" w:ascii="Calibri" w:hAnsi="Calibri" w:eastAsia="宋体"/>
          <w:b/>
          <w:bCs/>
          <w:color w:val="000000"/>
          <w:sz w:val="20"/>
          <w:szCs w:val="20"/>
        </w:rPr>
        <w:t>课程性质：</w:t>
      </w:r>
      <w:r>
        <w:rPr>
          <w:rFonts w:hint="eastAsia" w:ascii="Calibri" w:hAnsi="Calibri" w:eastAsia="宋体"/>
          <w:color w:val="000000"/>
          <w:sz w:val="20"/>
          <w:szCs w:val="20"/>
        </w:rPr>
        <w:t>通识教育选修课</w:t>
      </w:r>
    </w:p>
    <w:p>
      <w:pPr>
        <w:snapToGrid w:val="0"/>
        <w:spacing w:line="288" w:lineRule="auto"/>
        <w:ind w:firstLine="394" w:firstLineChars="196"/>
        <w:rPr>
          <w:rFonts w:ascii="Calibri" w:hAnsi="Calibri" w:eastAsia="宋体"/>
          <w:b/>
          <w:bCs/>
          <w:color w:val="000000"/>
          <w:sz w:val="21"/>
          <w:szCs w:val="21"/>
        </w:rPr>
      </w:pPr>
      <w:r>
        <w:rPr>
          <w:rFonts w:hint="eastAsia" w:ascii="Calibri" w:hAnsi="Calibri" w:eastAsia="宋体"/>
          <w:b/>
          <w:bCs/>
          <w:color w:val="000000"/>
          <w:sz w:val="20"/>
          <w:szCs w:val="20"/>
        </w:rPr>
        <w:t>开课院系：</w:t>
      </w:r>
      <w:r>
        <w:rPr>
          <w:rFonts w:hint="eastAsia" w:ascii="Calibri" w:hAnsi="Calibri" w:eastAsia="宋体"/>
          <w:b w:val="0"/>
          <w:bCs w:val="0"/>
          <w:color w:val="000000"/>
          <w:sz w:val="20"/>
          <w:szCs w:val="20"/>
          <w:lang w:eastAsia="zh-CN"/>
        </w:rPr>
        <w:t>新闻传播学院</w:t>
      </w:r>
    </w:p>
    <w:p>
      <w:pPr>
        <w:snapToGrid w:val="0"/>
        <w:spacing w:line="288" w:lineRule="auto"/>
        <w:ind w:firstLine="394" w:firstLineChars="196"/>
        <w:rPr>
          <w:rFonts w:hint="eastAsia" w:ascii="Calibri" w:hAnsi="Calibri" w:eastAsia="宋体"/>
          <w:color w:val="000000"/>
          <w:sz w:val="20"/>
          <w:szCs w:val="20"/>
        </w:rPr>
      </w:pPr>
      <w:r>
        <w:rPr>
          <w:rFonts w:hint="eastAsia" w:ascii="Calibri" w:hAnsi="Calibri" w:eastAsia="宋体"/>
          <w:b/>
          <w:bCs/>
          <w:color w:val="000000"/>
          <w:sz w:val="20"/>
          <w:szCs w:val="20"/>
        </w:rPr>
        <w:t>使用教材：</w:t>
      </w:r>
      <w:r>
        <w:rPr>
          <w:rFonts w:hint="eastAsia" w:ascii="Calibri" w:hAnsi="Calibri" w:eastAsia="宋体"/>
          <w:color w:val="000000"/>
          <w:sz w:val="20"/>
          <w:szCs w:val="20"/>
        </w:rPr>
        <w:t>《</w:t>
      </w:r>
      <w:r>
        <w:rPr>
          <w:rFonts w:hint="eastAsia" w:ascii="Calibri" w:hAnsi="Calibri" w:eastAsia="宋体"/>
          <w:color w:val="000000"/>
          <w:sz w:val="20"/>
          <w:szCs w:val="20"/>
          <w:lang w:val="en-US" w:eastAsia="zh-CN"/>
        </w:rPr>
        <w:t>趣味逻辑学</w:t>
      </w:r>
      <w:r>
        <w:rPr>
          <w:rFonts w:hint="eastAsia" w:ascii="Calibri" w:hAnsi="Calibri" w:eastAsia="宋体"/>
          <w:color w:val="000000"/>
          <w:sz w:val="20"/>
          <w:szCs w:val="20"/>
        </w:rPr>
        <w:t>》</w:t>
      </w:r>
      <w:r>
        <w:rPr>
          <w:rFonts w:hint="eastAsia" w:ascii="Calibri" w:hAnsi="Calibri" w:eastAsia="宋体"/>
          <w:color w:val="000000"/>
          <w:sz w:val="20"/>
          <w:szCs w:val="20"/>
          <w:lang w:val="en-US" w:eastAsia="zh-CN"/>
        </w:rPr>
        <w:t>董栋，</w:t>
      </w:r>
      <w:r>
        <w:rPr>
          <w:rFonts w:hint="eastAsia" w:ascii="Calibri" w:hAnsi="Calibri" w:eastAsia="宋体"/>
          <w:color w:val="000000"/>
          <w:sz w:val="20"/>
          <w:szCs w:val="20"/>
        </w:rPr>
        <w:t>清华大学出版社; 第1版 2016年2月1日</w:t>
      </w:r>
    </w:p>
    <w:p>
      <w:pPr>
        <w:snapToGrid w:val="0"/>
        <w:spacing w:line="288" w:lineRule="auto"/>
        <w:ind w:firstLine="400" w:firstLineChars="200"/>
        <w:rPr>
          <w:rFonts w:hint="eastAsia" w:ascii="Calibri" w:hAnsi="Calibri" w:eastAsia="宋体"/>
          <w:color w:val="000000"/>
          <w:sz w:val="20"/>
          <w:szCs w:val="20"/>
        </w:rPr>
      </w:pPr>
      <w:r>
        <w:rPr>
          <w:rFonts w:hint="eastAsia" w:ascii="Calibri" w:hAnsi="Calibri" w:eastAsia="宋体"/>
          <w:color w:val="000000"/>
          <w:sz w:val="20"/>
          <w:szCs w:val="20"/>
          <w:lang w:eastAsia="zh-CN"/>
        </w:rPr>
        <w:t>《</w:t>
      </w:r>
      <w:r>
        <w:rPr>
          <w:rFonts w:hint="eastAsia" w:ascii="Calibri" w:hAnsi="Calibri" w:eastAsia="宋体"/>
          <w:color w:val="000000"/>
          <w:sz w:val="20"/>
          <w:szCs w:val="20"/>
        </w:rPr>
        <w:t>趣题大师的推理问题》乔治·J·萨默斯</w:t>
      </w:r>
      <w:r>
        <w:rPr>
          <w:rFonts w:hint="eastAsia" w:ascii="Calibri" w:hAnsi="Calibri" w:eastAsia="宋体"/>
          <w:color w:val="000000"/>
          <w:sz w:val="20"/>
          <w:szCs w:val="20"/>
          <w:lang w:eastAsia="zh-CN"/>
        </w:rPr>
        <w:t>，</w:t>
      </w:r>
      <w:r>
        <w:rPr>
          <w:rFonts w:hint="eastAsia" w:ascii="Calibri" w:hAnsi="Calibri" w:eastAsia="宋体"/>
          <w:color w:val="000000"/>
          <w:sz w:val="20"/>
          <w:szCs w:val="20"/>
        </w:rPr>
        <w:t>上海科技教育出版社; 第1版 (2010年11月1日)</w:t>
      </w:r>
    </w:p>
    <w:p>
      <w:pPr>
        <w:rPr>
          <w:kern w:val="0"/>
        </w:rPr>
      </w:pPr>
      <w:r>
        <w:rPr>
          <w:rFonts w:hint="eastAsia" w:ascii="Calibri" w:hAnsi="Calibri"/>
          <w:color w:val="000000"/>
          <w:sz w:val="20"/>
          <w:szCs w:val="20"/>
          <w:lang w:val="en-US" w:eastAsia="zh-CN"/>
        </w:rPr>
        <w:t>辅助教材：</w:t>
      </w:r>
      <w:r>
        <w:rPr>
          <w:rFonts w:hint="eastAsia"/>
        </w:rPr>
        <w:t>1.</w:t>
      </w:r>
      <w:r>
        <w:rPr>
          <w:rFonts w:hint="eastAsia"/>
          <w:kern w:val="0"/>
        </w:rPr>
        <w:t>《哲学导论》，王德峰，上海人民出版社；哲学导论；</w:t>
      </w:r>
    </w:p>
    <w:p>
      <w:pPr>
        <w:rPr>
          <w:kern w:val="0"/>
        </w:rPr>
      </w:pPr>
      <w:r>
        <w:rPr>
          <w:rFonts w:hint="eastAsia"/>
          <w:kern w:val="0"/>
        </w:rPr>
        <w:t>2.《智慧之光——世界十大思想家》，王德峰、吴晓明，上海古籍出版社；</w:t>
      </w:r>
    </w:p>
    <w:p>
      <w:r>
        <w:rPr>
          <w:rFonts w:hint="eastAsia"/>
          <w:kern w:val="0"/>
        </w:rPr>
        <w:t>3.《思想家》，[英] 麦基，三联书店；</w:t>
      </w:r>
    </w:p>
    <w:p>
      <w:pPr>
        <w:rPr>
          <w:rFonts w:hint="eastAsia"/>
          <w:kern w:val="0"/>
        </w:rPr>
      </w:pPr>
      <w:r>
        <w:rPr>
          <w:rFonts w:hint="eastAsia"/>
          <w:kern w:val="0"/>
        </w:rPr>
        <w:t>4.《理想的冲突》，[美]宾克莱，商务印书馆；</w:t>
      </w:r>
    </w:p>
    <w:p>
      <w:pPr>
        <w:jc w:val="left"/>
        <w:rPr>
          <w:rFonts w:hint="eastAsia"/>
          <w:b w:val="0"/>
          <w:bCs w:val="0"/>
          <w:kern w:val="0"/>
        </w:rPr>
      </w:pPr>
      <w:r>
        <w:rPr>
          <w:rFonts w:hint="eastAsia"/>
          <w:b/>
          <w:bCs/>
          <w:lang w:val="en-US" w:eastAsia="zh-CN"/>
        </w:rPr>
        <w:t>课程网站网址</w:t>
      </w:r>
      <w:r>
        <w:rPr>
          <w:b/>
          <w:bCs/>
        </w:rPr>
        <w:t>：</w:t>
      </w:r>
      <w:r>
        <w:rPr>
          <w:rFonts w:hint="eastAsia"/>
          <w:b w:val="0"/>
          <w:bCs w:val="0"/>
        </w:rPr>
        <w:t>https://elearning.gench.edu.cn:8443/webapps/portal/execute/tabs/tabAction</w:t>
      </w:r>
    </w:p>
    <w:p>
      <w:r>
        <w:rPr>
          <w:b/>
          <w:bCs/>
        </w:rPr>
        <w:t>先修课程</w:t>
      </w:r>
      <w:r>
        <w:t>：</w:t>
      </w:r>
      <w:r>
        <w:rPr>
          <w:rFonts w:hint="eastAsia"/>
        </w:rPr>
        <w:t>无</w:t>
      </w:r>
    </w:p>
    <w:p>
      <w:pPr>
        <w:numPr>
          <w:ilvl w:val="0"/>
          <w:numId w:val="1"/>
        </w:numPr>
        <w:snapToGrid w:val="0"/>
        <w:spacing w:line="288" w:lineRule="auto"/>
        <w:ind w:left="0" w:leftChars="0" w:firstLine="0" w:firstLineChars="0"/>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课程简介</w:t>
      </w:r>
    </w:p>
    <w:p>
      <w:pPr>
        <w:widowControl/>
        <w:spacing w:before="156" w:beforeLines="50" w:after="156" w:afterLines="50" w:line="288" w:lineRule="auto"/>
        <w:ind w:left="0" w:leftChars="0" w:firstLine="400" w:firstLineChars="200"/>
        <w:jc w:val="left"/>
        <w:rPr>
          <w:rFonts w:hint="eastAsia" w:ascii="Calibri" w:hAnsi="Calibri" w:eastAsia="宋体"/>
          <w:color w:val="000000"/>
          <w:sz w:val="20"/>
          <w:szCs w:val="20"/>
        </w:rPr>
      </w:pPr>
      <w:r>
        <w:rPr>
          <w:rFonts w:hint="eastAsia" w:ascii="Calibri" w:hAnsi="Calibri" w:eastAsia="宋体"/>
          <w:color w:val="000000"/>
          <w:sz w:val="20"/>
          <w:szCs w:val="20"/>
        </w:rPr>
        <w:t>《趣味推理》强调趣味性特点和推理的判断本质，着重通过一系列逻辑思维推理小故事提升推理的趣味性，旨在笑声中让学生理解归纳推理、演绎推理、类比推理在</w:t>
      </w:r>
      <w:r>
        <w:rPr>
          <w:rFonts w:hint="eastAsia" w:ascii="Calibri" w:hAnsi="Calibri"/>
          <w:color w:val="000000"/>
          <w:sz w:val="20"/>
          <w:szCs w:val="20"/>
          <w:lang w:val="en-US" w:eastAsia="zh-CN"/>
        </w:rPr>
        <w:t>小说中电影里以及</w:t>
      </w:r>
      <w:r>
        <w:rPr>
          <w:rFonts w:hint="eastAsia" w:ascii="Calibri" w:hAnsi="Calibri" w:eastAsia="宋体"/>
          <w:color w:val="000000"/>
          <w:sz w:val="20"/>
          <w:szCs w:val="20"/>
        </w:rPr>
        <w:t>侦探、审判、博弈、决策过程中的应用。本课程通过理论联系实际的教学方法，将传统意义上的逻辑与法律推理和推理小说中的判断等问题综合起来，增强学科的适应性和启发性及趣味性，突出推理的应用性和思辨性，课堂中理论知识的讲解，简明扼要，深入浅出，且实例与练习丰富。本课程富有生活气息、充满趣味。</w:t>
      </w:r>
    </w:p>
    <w:p>
      <w:pPr>
        <w:widowControl/>
        <w:spacing w:before="156" w:beforeLines="50" w:after="156" w:afterLines="50" w:line="288" w:lineRule="auto"/>
        <w:ind w:left="0" w:leftChars="0" w:firstLine="0" w:firstLineChars="0"/>
        <w:jc w:val="left"/>
        <w:rPr>
          <w:rFonts w:ascii="黑体" w:hAnsi="宋体" w:eastAsia="黑体"/>
          <w:sz w:val="24"/>
          <w:szCs w:val="22"/>
        </w:rPr>
      </w:pPr>
      <w:r>
        <w:rPr>
          <w:rFonts w:hint="eastAsia" w:ascii="黑体" w:hAnsi="宋体" w:eastAsia="黑体"/>
          <w:sz w:val="24"/>
          <w:szCs w:val="22"/>
        </w:rPr>
        <w:t>三、选课建议</w:t>
      </w:r>
    </w:p>
    <w:p>
      <w:pPr>
        <w:snapToGrid w:val="0"/>
        <w:spacing w:line="288" w:lineRule="auto"/>
        <w:ind w:firstLine="400" w:firstLineChars="200"/>
        <w:rPr>
          <w:rFonts w:ascii="宋体" w:hAnsi="宋体" w:eastAsia="宋体"/>
          <w:sz w:val="24"/>
        </w:rPr>
      </w:pPr>
      <w:r>
        <w:rPr>
          <w:rFonts w:hint="eastAsia" w:ascii="宋体" w:hAnsi="宋体" w:eastAsia="宋体"/>
          <w:sz w:val="20"/>
          <w:szCs w:val="20"/>
        </w:rPr>
        <w:t>本课程面向</w:t>
      </w:r>
      <w:r>
        <w:rPr>
          <w:rFonts w:hint="eastAsia" w:ascii="宋体" w:hAnsi="宋体" w:eastAsia="宋体"/>
          <w:sz w:val="20"/>
          <w:szCs w:val="20"/>
          <w:lang w:eastAsia="zh-CN"/>
        </w:rPr>
        <w:t>全校本科各</w:t>
      </w:r>
      <w:r>
        <w:rPr>
          <w:rFonts w:hint="eastAsia" w:ascii="宋体" w:hAnsi="宋体" w:eastAsia="宋体"/>
          <w:sz w:val="20"/>
          <w:szCs w:val="20"/>
        </w:rPr>
        <w:t>专业学生，学生有无</w:t>
      </w:r>
      <w:r>
        <w:rPr>
          <w:rFonts w:hint="eastAsia" w:ascii="宋体" w:hAnsi="宋体" w:eastAsia="宋体"/>
          <w:sz w:val="20"/>
          <w:szCs w:val="20"/>
          <w:lang w:val="en-US" w:eastAsia="zh-CN"/>
        </w:rPr>
        <w:t>逻辑学</w:t>
      </w:r>
      <w:r>
        <w:rPr>
          <w:rFonts w:hint="eastAsia" w:ascii="宋体" w:hAnsi="宋体" w:eastAsia="宋体"/>
          <w:sz w:val="20"/>
          <w:szCs w:val="20"/>
        </w:rPr>
        <w:t>基础知识皆可选修本课程。</w:t>
      </w:r>
    </w:p>
    <w:p>
      <w:pPr>
        <w:widowControl/>
        <w:spacing w:before="156" w:beforeLines="50" w:after="156" w:afterLines="50" w:line="288" w:lineRule="auto"/>
        <w:ind w:left="0" w:leftChars="0" w:firstLine="0" w:firstLineChars="0"/>
        <w:jc w:val="left"/>
        <w:rPr>
          <w:rFonts w:ascii="黑体" w:hAnsi="宋体" w:eastAsia="黑体"/>
          <w:sz w:val="24"/>
          <w:szCs w:val="22"/>
        </w:rPr>
      </w:pPr>
      <w:r>
        <w:rPr>
          <w:rFonts w:hint="eastAsia" w:ascii="黑体" w:hAnsi="宋体" w:eastAsia="黑体"/>
          <w:sz w:val="24"/>
          <w:szCs w:val="22"/>
        </w:rPr>
        <w:t>四、课程目标/课程预期学习成果</w:t>
      </w:r>
    </w:p>
    <w:tbl>
      <w:tblPr>
        <w:tblStyle w:val="6"/>
        <w:tblpPr w:leftFromText="180" w:rightFromText="180" w:vertAnchor="text" w:horzAnchor="page" w:tblpX="2087" w:tblpY="871"/>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174"/>
        <w:gridCol w:w="2468"/>
        <w:gridCol w:w="21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vAlign w:val="top"/>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序</w:t>
            </w:r>
            <w:r>
              <w:rPr>
                <w:rFonts w:hint="eastAsia" w:ascii="Calibri" w:hAnsi="Calibri"/>
                <w:b/>
                <w:color w:val="000000"/>
                <w:sz w:val="20"/>
                <w:szCs w:val="20"/>
                <w:lang w:val="en-US" w:eastAsia="zh-CN"/>
              </w:rPr>
              <w:t>序号</w:t>
            </w:r>
          </w:p>
        </w:tc>
        <w:tc>
          <w:tcPr>
            <w:tcW w:w="1174" w:type="dxa"/>
            <w:tcBorders>
              <w:top w:val="single" w:color="auto" w:sz="4" w:space="0"/>
              <w:left w:val="single" w:color="auto" w:sz="4" w:space="0"/>
              <w:bottom w:val="single" w:color="auto" w:sz="4" w:space="0"/>
              <w:right w:val="single" w:color="auto" w:sz="4" w:space="0"/>
            </w:tcBorders>
            <w:vAlign w:val="top"/>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课程预期</w:t>
            </w:r>
          </w:p>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学习成果</w:t>
            </w:r>
          </w:p>
        </w:tc>
        <w:tc>
          <w:tcPr>
            <w:tcW w:w="246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课程目标</w:t>
            </w:r>
          </w:p>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（细化的预期学习成果）</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Calibri" w:hAnsi="Calibri" w:eastAsia="宋体"/>
                <w:b/>
                <w:color w:val="000000"/>
                <w:sz w:val="20"/>
                <w:szCs w:val="20"/>
              </w:rPr>
            </w:pPr>
            <w:r>
              <w:rPr>
                <w:rFonts w:hint="eastAsia" w:ascii="Calibri" w:hAnsi="Calibri" w:eastAsia="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36" w:type="dxa"/>
            <w:tcBorders>
              <w:top w:val="single" w:color="auto" w:sz="4" w:space="0"/>
              <w:left w:val="single" w:color="auto" w:sz="4" w:space="0"/>
              <w:right w:val="single" w:color="auto" w:sz="4" w:space="0"/>
            </w:tcBorders>
            <w:vAlign w:val="center"/>
          </w:tcPr>
          <w:p>
            <w:pPr>
              <w:jc w:val="center"/>
              <w:rPr>
                <w:rFonts w:ascii="仿宋" w:hAnsi="仿宋" w:eastAsia="仿宋" w:cs="宋体"/>
                <w:color w:val="000000"/>
                <w:kern w:val="0"/>
                <w:sz w:val="24"/>
                <w:szCs w:val="22"/>
              </w:rPr>
            </w:pPr>
            <w:r>
              <w:rPr>
                <w:rFonts w:hint="eastAsia" w:ascii="仿宋" w:hAnsi="仿宋" w:eastAsia="仿宋" w:cs="宋体"/>
                <w:color w:val="000000"/>
                <w:kern w:val="0"/>
                <w:sz w:val="24"/>
              </w:rPr>
              <w:t>1</w:t>
            </w:r>
          </w:p>
        </w:tc>
        <w:tc>
          <w:tcPr>
            <w:tcW w:w="1174" w:type="dxa"/>
            <w:tcBorders>
              <w:top w:val="single" w:color="auto" w:sz="4" w:space="0"/>
              <w:left w:val="single" w:color="auto" w:sz="4" w:space="0"/>
              <w:right w:val="single" w:color="auto" w:sz="4" w:space="0"/>
            </w:tcBorders>
            <w:vAlign w:val="center"/>
          </w:tcPr>
          <w:p>
            <w:pPr>
              <w:jc w:val="center"/>
              <w:rPr>
                <w:rFonts w:hint="eastAsia" w:ascii="仿宋" w:hAnsi="仿宋" w:eastAsia="仿宋" w:cs="宋体"/>
                <w:color w:val="000000"/>
                <w:kern w:val="0"/>
                <w:sz w:val="24"/>
                <w:szCs w:val="22"/>
              </w:rPr>
            </w:pPr>
            <w:r>
              <w:rPr>
                <w:rFonts w:hint="eastAsia" w:ascii="仿宋" w:hAnsi="仿宋" w:eastAsia="仿宋" w:cs="宋体"/>
                <w:color w:val="000000"/>
                <w:kern w:val="0"/>
                <w:sz w:val="24"/>
              </w:rPr>
              <w:t>LO</w:t>
            </w:r>
            <w:r>
              <w:rPr>
                <w:rFonts w:hint="eastAsia" w:ascii="仿宋" w:hAnsi="仿宋" w:eastAsia="仿宋" w:cs="宋体"/>
                <w:color w:val="000000"/>
                <w:kern w:val="0"/>
                <w:sz w:val="24"/>
                <w:lang w:val="en-US" w:eastAsia="zh-CN"/>
              </w:rPr>
              <w:t>112</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应用书面或口头形式，多层次多方位表达自己的观点，有效沟通。</w:t>
            </w:r>
          </w:p>
        </w:tc>
        <w:tc>
          <w:tcPr>
            <w:tcW w:w="2197" w:type="dxa"/>
            <w:tcBorders>
              <w:top w:val="single" w:color="auto" w:sz="4" w:space="0"/>
              <w:left w:val="single" w:color="auto" w:sz="4" w:space="0"/>
              <w:right w:val="single" w:color="auto" w:sz="4" w:space="0"/>
            </w:tcBorders>
            <w:vAlign w:val="center"/>
          </w:tcPr>
          <w:p>
            <w:pPr>
              <w:snapToGrid w:val="0"/>
              <w:spacing w:line="288" w:lineRule="auto"/>
              <w:jc w:val="center"/>
              <w:rPr>
                <w:rFonts w:hint="eastAsia" w:ascii="黑体" w:hAnsi="宋体" w:eastAsia="黑体"/>
                <w:sz w:val="24"/>
                <w:szCs w:val="22"/>
                <w:lang w:eastAsia="zh-CN"/>
              </w:rPr>
            </w:pPr>
            <w:r>
              <w:rPr>
                <w:rFonts w:hint="eastAsia" w:ascii="宋体" w:hAnsi="宋体" w:eastAsia="宋体" w:cs="宋体"/>
                <w:i w:val="0"/>
                <w:color w:val="000000"/>
                <w:kern w:val="0"/>
                <w:sz w:val="20"/>
                <w:szCs w:val="20"/>
                <w:u w:val="none"/>
                <w:lang w:val="en-US" w:eastAsia="zh-CN" w:bidi="ar"/>
              </w:rPr>
              <w:t>讲解</w:t>
            </w:r>
            <w:r>
              <w:rPr>
                <w:rFonts w:hint="eastAsia" w:ascii="宋体" w:hAnsi="宋体" w:cs="宋体"/>
                <w:i w:val="0"/>
                <w:color w:val="000000"/>
                <w:kern w:val="0"/>
                <w:sz w:val="20"/>
                <w:szCs w:val="20"/>
                <w:u w:val="none"/>
                <w:lang w:val="en-US" w:eastAsia="zh-CN" w:bidi="ar"/>
              </w:rPr>
              <w:t>演绎推理</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归纳推理知识，</w:t>
            </w:r>
            <w:r>
              <w:rPr>
                <w:rFonts w:hint="eastAsia" w:ascii="宋体" w:hAnsi="宋体" w:eastAsia="宋体" w:cs="宋体"/>
                <w:i w:val="0"/>
                <w:color w:val="000000"/>
                <w:kern w:val="0"/>
                <w:sz w:val="20"/>
                <w:szCs w:val="20"/>
                <w:u w:val="none"/>
                <w:lang w:val="en-US" w:eastAsia="zh-CN" w:bidi="ar"/>
              </w:rPr>
              <w:t>课堂互动、小练习</w:t>
            </w:r>
          </w:p>
        </w:tc>
        <w:tc>
          <w:tcPr>
            <w:tcW w:w="1275" w:type="dxa"/>
            <w:tcBorders>
              <w:top w:val="single" w:color="auto" w:sz="4" w:space="0"/>
              <w:left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课堂、课后练习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36" w:type="dxa"/>
            <w:tcBorders>
              <w:top w:val="single" w:color="auto" w:sz="4" w:space="0"/>
              <w:left w:val="single" w:color="auto" w:sz="4" w:space="0"/>
              <w:right w:val="single" w:color="auto" w:sz="4" w:space="0"/>
            </w:tcBorders>
            <w:vAlign w:val="center"/>
          </w:tcPr>
          <w:p>
            <w:pPr>
              <w:jc w:val="center"/>
              <w:rPr>
                <w:rFonts w:hint="eastAsia" w:ascii="仿宋" w:hAnsi="仿宋" w:eastAsia="仿宋" w:cs="宋体"/>
                <w:color w:val="000000"/>
                <w:kern w:val="0"/>
                <w:sz w:val="24"/>
                <w:szCs w:val="22"/>
                <w:lang w:eastAsia="zh-CN"/>
              </w:rPr>
            </w:pPr>
            <w:r>
              <w:rPr>
                <w:rFonts w:hint="eastAsia" w:ascii="仿宋" w:hAnsi="仿宋" w:eastAsia="仿宋" w:cs="宋体"/>
                <w:color w:val="000000"/>
                <w:kern w:val="0"/>
                <w:sz w:val="24"/>
                <w:lang w:val="en-US" w:eastAsia="zh-CN"/>
              </w:rPr>
              <w:t>2</w:t>
            </w:r>
          </w:p>
        </w:tc>
        <w:tc>
          <w:tcPr>
            <w:tcW w:w="1174" w:type="dxa"/>
            <w:tcBorders>
              <w:top w:val="single" w:color="auto" w:sz="4" w:space="0"/>
              <w:left w:val="single" w:color="auto" w:sz="4" w:space="0"/>
              <w:right w:val="single" w:color="auto" w:sz="4" w:space="0"/>
            </w:tcBorders>
            <w:vAlign w:val="center"/>
          </w:tcPr>
          <w:p>
            <w:pPr>
              <w:jc w:val="center"/>
              <w:rPr>
                <w:rFonts w:hint="eastAsia" w:ascii="仿宋" w:hAnsi="仿宋" w:eastAsia="仿宋" w:cs="宋体"/>
                <w:color w:val="000000"/>
                <w:kern w:val="0"/>
                <w:sz w:val="24"/>
                <w:szCs w:val="22"/>
              </w:rPr>
            </w:pPr>
            <w:r>
              <w:rPr>
                <w:rFonts w:hint="eastAsia" w:ascii="仿宋" w:hAnsi="仿宋" w:eastAsia="仿宋" w:cs="宋体"/>
                <w:color w:val="000000"/>
                <w:kern w:val="0"/>
                <w:sz w:val="24"/>
              </w:rPr>
              <w:t>LO</w:t>
            </w:r>
            <w:r>
              <w:rPr>
                <w:rFonts w:hint="eastAsia" w:ascii="仿宋" w:hAnsi="仿宋" w:eastAsia="仿宋" w:cs="宋体"/>
                <w:color w:val="000000"/>
                <w:kern w:val="0"/>
                <w:sz w:val="24"/>
                <w:lang w:val="en-US" w:eastAsia="zh-CN"/>
              </w:rPr>
              <w:t>212</w:t>
            </w:r>
          </w:p>
        </w:tc>
        <w:tc>
          <w:tcPr>
            <w:tcW w:w="24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both"/>
              <w:rPr>
                <w:rFonts w:hint="eastAsia" w:ascii="仿宋" w:hAnsi="仿宋" w:eastAsia="仿宋" w:cs="宋体"/>
                <w:color w:val="000000"/>
                <w:kern w:val="0"/>
                <w:sz w:val="24"/>
                <w:szCs w:val="22"/>
              </w:rPr>
            </w:pPr>
            <w:r>
              <w:rPr>
                <w:rFonts w:hint="eastAsia" w:ascii="宋体" w:hAnsi="宋体" w:eastAsia="宋体" w:cs="宋体"/>
                <w:i w:val="0"/>
                <w:color w:val="000000"/>
                <w:kern w:val="0"/>
                <w:sz w:val="20"/>
                <w:szCs w:val="20"/>
                <w:u w:val="none"/>
                <w:lang w:val="en-US" w:eastAsia="zh-CN" w:bidi="ar"/>
              </w:rPr>
              <w:t>能搜集、获取达到目标所需要的学习资源，实施学习计划、反思学习计划、持续改进，达到学习目标。</w:t>
            </w:r>
          </w:p>
        </w:tc>
        <w:tc>
          <w:tcPr>
            <w:tcW w:w="2197" w:type="dxa"/>
            <w:tcBorders>
              <w:top w:val="single" w:color="auto" w:sz="4" w:space="0"/>
              <w:left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推理视频</w:t>
            </w:r>
            <w:r>
              <w:rPr>
                <w:rFonts w:hint="eastAsia" w:ascii="宋体" w:hAnsi="宋体" w:eastAsia="宋体" w:cs="宋体"/>
                <w:i w:val="0"/>
                <w:color w:val="000000"/>
                <w:kern w:val="0"/>
                <w:sz w:val="20"/>
                <w:szCs w:val="20"/>
                <w:u w:val="none"/>
                <w:lang w:val="en-US" w:eastAsia="zh-CN" w:bidi="ar"/>
              </w:rPr>
              <w:t>讲解、案例分析、课后阅读</w:t>
            </w:r>
          </w:p>
        </w:tc>
        <w:tc>
          <w:tcPr>
            <w:tcW w:w="1275" w:type="dxa"/>
            <w:tcBorders>
              <w:top w:val="single" w:color="auto" w:sz="4" w:space="0"/>
              <w:left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期终课程论文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2"/>
                <w:lang w:val="en-US" w:eastAsia="zh-CN"/>
              </w:rPr>
            </w:pPr>
            <w:r>
              <w:rPr>
                <w:rFonts w:hint="eastAsia" w:ascii="仿宋" w:hAnsi="仿宋" w:eastAsia="仿宋" w:cs="宋体"/>
                <w:color w:val="000000"/>
                <w:kern w:val="0"/>
                <w:sz w:val="24"/>
                <w:szCs w:val="22"/>
                <w:lang w:val="en-US" w:eastAsia="zh-CN"/>
              </w:rPr>
              <w:t>3</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000000"/>
                <w:kern w:val="0"/>
                <w:sz w:val="24"/>
                <w:szCs w:val="22"/>
                <w:lang w:val="en-US" w:eastAsia="zh-CN"/>
              </w:rPr>
            </w:pPr>
            <w:r>
              <w:rPr>
                <w:rFonts w:hint="eastAsia" w:ascii="仿宋" w:hAnsi="仿宋" w:eastAsia="仿宋" w:cs="宋体"/>
                <w:color w:val="000000"/>
                <w:kern w:val="0"/>
                <w:sz w:val="24"/>
                <w:szCs w:val="22"/>
                <w:lang w:val="en-US" w:eastAsia="zh-CN"/>
              </w:rPr>
              <w:t>LO513</w:t>
            </w:r>
          </w:p>
        </w:tc>
        <w:tc>
          <w:tcPr>
            <w:tcW w:w="246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宋体"/>
                <w:color w:val="000000"/>
                <w:kern w:val="0"/>
                <w:sz w:val="24"/>
              </w:rPr>
            </w:pPr>
            <w:r>
              <w:rPr>
                <w:rFonts w:hint="eastAsia" w:ascii="宋体" w:hAnsi="宋体" w:eastAsia="宋体" w:cs="宋体"/>
                <w:i w:val="0"/>
                <w:color w:val="000000"/>
                <w:kern w:val="0"/>
                <w:sz w:val="20"/>
                <w:szCs w:val="20"/>
                <w:u w:val="none"/>
                <w:lang w:val="en-US" w:eastAsia="zh-CN" w:bidi="ar"/>
              </w:rPr>
              <w:t>能用创新思维简单或有趣推理复杂问题或真实问题。</w:t>
            </w: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小视频讲解，案例</w:t>
            </w:r>
            <w:r>
              <w:rPr>
                <w:rFonts w:hint="eastAsia" w:ascii="宋体" w:hAnsi="宋体" w:eastAsia="宋体" w:cs="宋体"/>
                <w:i w:val="0"/>
                <w:color w:val="000000"/>
                <w:kern w:val="0"/>
                <w:sz w:val="20"/>
                <w:szCs w:val="20"/>
                <w:u w:val="none"/>
                <w:lang w:val="en-US" w:eastAsia="zh-CN" w:bidi="ar"/>
              </w:rPr>
              <w:t>分析、讲解、课堂互动</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课堂、课后练习</w:t>
            </w:r>
          </w:p>
        </w:tc>
      </w:tr>
    </w:tbl>
    <w:p>
      <w:pPr>
        <w:snapToGrid w:val="0"/>
        <w:spacing w:line="288" w:lineRule="auto"/>
        <w:rPr>
          <w:rFonts w:hint="eastAsia" w:ascii="黑体" w:hAnsi="宋体" w:eastAsia="黑体"/>
          <w:sz w:val="24"/>
          <w:szCs w:val="22"/>
        </w:rPr>
      </w:pPr>
    </w:p>
    <w:p>
      <w:pPr>
        <w:widowControl/>
        <w:spacing w:before="156" w:beforeLines="50" w:after="156" w:afterLines="50" w:line="288" w:lineRule="auto"/>
        <w:ind w:firstLine="360" w:firstLineChars="150"/>
        <w:jc w:val="left"/>
        <w:rPr>
          <w:rFonts w:hint="eastAsia" w:ascii="黑体" w:hAnsi="宋体" w:eastAsia="黑体"/>
          <w:sz w:val="24"/>
          <w:szCs w:val="22"/>
        </w:rPr>
      </w:pPr>
    </w:p>
    <w:p>
      <w:pPr>
        <w:widowControl/>
        <w:spacing w:before="156" w:beforeLines="50" w:after="156" w:afterLines="50" w:line="288" w:lineRule="auto"/>
        <w:ind w:left="0" w:leftChars="0" w:firstLine="0" w:firstLineChars="0"/>
        <w:jc w:val="both"/>
        <w:rPr>
          <w:rFonts w:hint="eastAsia" w:ascii="黑体" w:hAnsi="宋体" w:eastAsia="黑体"/>
          <w:sz w:val="24"/>
          <w:szCs w:val="22"/>
        </w:rPr>
      </w:pPr>
      <w:r>
        <w:rPr>
          <w:rFonts w:hint="eastAsia" w:ascii="黑体" w:hAnsi="宋体" w:eastAsia="黑体"/>
          <w:sz w:val="24"/>
          <w:szCs w:val="22"/>
          <w:lang w:val="en-US" w:eastAsia="zh-CN"/>
        </w:rPr>
        <w:t>五、</w:t>
      </w:r>
      <w:r>
        <w:rPr>
          <w:rFonts w:hint="eastAsia" w:ascii="黑体" w:hAnsi="宋体" w:eastAsia="黑体"/>
          <w:sz w:val="24"/>
          <w:szCs w:val="22"/>
        </w:rPr>
        <w:t>课程内容</w:t>
      </w:r>
    </w:p>
    <w:p>
      <w:pPr>
        <w:snapToGrid w:val="0"/>
        <w:spacing w:line="288" w:lineRule="auto"/>
        <w:ind w:firstLine="400" w:firstLineChars="200"/>
        <w:rPr>
          <w:rFonts w:hint="eastAsia" w:ascii="宋体" w:hAnsi="宋体" w:eastAsia="宋体"/>
          <w:sz w:val="20"/>
          <w:szCs w:val="20"/>
        </w:rPr>
      </w:pPr>
      <w:r>
        <w:rPr>
          <w:rFonts w:hint="eastAsia" w:ascii="宋体" w:hAnsi="宋体" w:eastAsia="宋体"/>
          <w:sz w:val="20"/>
          <w:szCs w:val="20"/>
        </w:rPr>
        <w:t>第一</w:t>
      </w:r>
      <w:r>
        <w:rPr>
          <w:rFonts w:hint="eastAsia" w:ascii="宋体" w:hAnsi="宋体"/>
          <w:sz w:val="20"/>
          <w:szCs w:val="20"/>
          <w:lang w:val="en-US" w:eastAsia="zh-CN"/>
        </w:rPr>
        <w:t>部分 逻辑推理——</w:t>
      </w:r>
      <w:r>
        <w:rPr>
          <w:rFonts w:hint="eastAsia" w:ascii="宋体" w:hAnsi="宋体" w:eastAsia="宋体"/>
          <w:sz w:val="20"/>
          <w:szCs w:val="20"/>
        </w:rPr>
        <w:t>部分基础篇 </w:t>
      </w:r>
    </w:p>
    <w:p>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sz w:val="20"/>
          <w:szCs w:val="20"/>
          <w:bdr w:val="none" w:color="auto" w:sz="0" w:space="0"/>
          <w:lang w:val="en-US" w:eastAsia="zh-CN"/>
        </w:rPr>
      </w:pPr>
      <w:r>
        <w:rPr>
          <w:rFonts w:hint="eastAsia" w:ascii="宋体" w:hAnsi="宋体"/>
          <w:sz w:val="20"/>
          <w:szCs w:val="20"/>
          <w:lang w:val="en-US" w:eastAsia="zh-CN"/>
        </w:rPr>
        <w:t>一、概述</w:t>
      </w:r>
      <w:r>
        <w:rPr>
          <w:rFonts w:hint="eastAsia" w:ascii="宋体" w:hAnsi="宋体" w:eastAsia="宋体"/>
          <w:sz w:val="20"/>
          <w:szCs w:val="20"/>
          <w:lang w:val="en-US" w:eastAsia="zh-CN"/>
        </w:rPr>
        <w:t>趣味推理</w:t>
      </w:r>
      <w:r>
        <w:rPr>
          <w:rFonts w:hint="eastAsia" w:ascii="宋体" w:hAnsi="宋体" w:eastAsia="宋体"/>
          <w:sz w:val="20"/>
          <w:szCs w:val="20"/>
        </w:rPr>
        <w:t> </w:t>
      </w:r>
      <w:r>
        <w:rPr>
          <w:rFonts w:hint="eastAsia" w:ascii="宋体" w:hAnsi="宋体" w:eastAsia="宋体"/>
          <w:sz w:val="20"/>
          <w:szCs w:val="20"/>
        </w:rPr>
        <w:br w:type="textWrapping"/>
      </w:r>
      <w:r>
        <w:rPr>
          <w:rFonts w:hint="eastAsia" w:ascii="宋体" w:hAnsi="宋体" w:eastAsia="宋体"/>
          <w:sz w:val="20"/>
          <w:szCs w:val="20"/>
          <w:lang w:val="en-US" w:eastAsia="zh-CN"/>
        </w:rPr>
        <w:t>1、</w:t>
      </w:r>
      <w:r>
        <w:rPr>
          <w:rFonts w:hint="eastAsia" w:ascii="宋体" w:hAnsi="宋体" w:eastAsia="宋体" w:cs="宋体"/>
          <w:color w:val="000000"/>
          <w:kern w:val="2"/>
          <w:sz w:val="20"/>
          <w:szCs w:val="20"/>
          <w:bdr w:val="none" w:color="auto" w:sz="0" w:space="0"/>
          <w:lang w:val="en-US" w:eastAsia="zh-CN" w:bidi="ar"/>
        </w:rPr>
        <w:t>推理的基本概念和分类</w:t>
      </w:r>
      <w:r>
        <w:rPr>
          <w:rFonts w:hint="eastAsia" w:ascii="宋体" w:hAnsi="宋体" w:eastAsia="宋体"/>
          <w:sz w:val="20"/>
          <w:szCs w:val="20"/>
        </w:rPr>
        <w:t> </w:t>
      </w:r>
      <w:r>
        <w:rPr>
          <w:rFonts w:hint="eastAsia" w:ascii="宋体" w:hAnsi="宋体" w:eastAsia="宋体"/>
          <w:sz w:val="20"/>
          <w:szCs w:val="20"/>
        </w:rPr>
        <w:br w:type="textWrapping"/>
      </w:r>
      <w:r>
        <w:rPr>
          <w:rFonts w:hint="eastAsia" w:ascii="宋体" w:hAnsi="宋体" w:eastAsia="宋体"/>
          <w:sz w:val="20"/>
          <w:szCs w:val="20"/>
          <w:lang w:val="en-US" w:eastAsia="zh-CN"/>
        </w:rPr>
        <w:t>2、</w:t>
      </w:r>
      <w:r>
        <w:rPr>
          <w:rFonts w:hint="eastAsia" w:ascii="宋体" w:hAnsi="宋体" w:eastAsia="宋体" w:cs="宋体"/>
          <w:color w:val="000000"/>
          <w:kern w:val="2"/>
          <w:sz w:val="20"/>
          <w:szCs w:val="20"/>
          <w:bdr w:val="none" w:color="auto" w:sz="0" w:space="0"/>
          <w:lang w:val="en-US" w:eastAsia="zh-CN" w:bidi="ar"/>
        </w:rPr>
        <w:t>推理—趣味逻辑的发源地 （归纳推理生活中的应用） </w:t>
      </w:r>
    </w:p>
    <w:p>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sz w:val="20"/>
          <w:szCs w:val="20"/>
        </w:rPr>
      </w:pPr>
      <w:r>
        <w:rPr>
          <w:rFonts w:hint="eastAsia" w:ascii="宋体" w:hAnsi="宋体" w:eastAsia="宋体"/>
          <w:sz w:val="20"/>
          <w:szCs w:val="20"/>
          <w:lang w:val="en-US" w:eastAsia="zh-CN"/>
        </w:rPr>
        <w:t>二</w:t>
      </w:r>
      <w:r>
        <w:rPr>
          <w:rFonts w:hint="eastAsia" w:ascii="宋体" w:hAnsi="宋体" w:eastAsia="宋体"/>
          <w:sz w:val="20"/>
          <w:szCs w:val="20"/>
          <w:lang w:eastAsia="zh-CN"/>
        </w:rPr>
        <w:t>、</w:t>
      </w:r>
      <w:r>
        <w:rPr>
          <w:rFonts w:hint="eastAsia" w:ascii="宋体" w:hAnsi="宋体" w:eastAsia="宋体"/>
          <w:sz w:val="20"/>
          <w:szCs w:val="20"/>
        </w:rPr>
        <w:t>预设</w:t>
      </w:r>
      <w:r>
        <w:rPr>
          <w:rFonts w:hint="eastAsia" w:ascii="宋体" w:hAnsi="宋体" w:eastAsia="宋体"/>
          <w:sz w:val="20"/>
          <w:szCs w:val="20"/>
          <w:lang w:eastAsia="zh-CN"/>
        </w:rPr>
        <w:t>、</w:t>
      </w:r>
      <w:r>
        <w:rPr>
          <w:rFonts w:hint="eastAsia" w:ascii="宋体" w:hAnsi="宋体" w:eastAsia="宋体"/>
          <w:sz w:val="20"/>
          <w:szCs w:val="20"/>
        </w:rPr>
        <w:t>概念</w:t>
      </w:r>
      <w:r>
        <w:rPr>
          <w:rFonts w:hint="eastAsia" w:ascii="宋体" w:hAnsi="宋体" w:eastAsia="宋体"/>
          <w:sz w:val="20"/>
          <w:szCs w:val="20"/>
          <w:lang w:val="en-US" w:eastAsia="zh-CN"/>
        </w:rPr>
        <w:t>与推理</w:t>
      </w:r>
      <w:r>
        <w:rPr>
          <w:rFonts w:hint="eastAsia" w:ascii="宋体" w:hAnsi="宋体" w:eastAsia="宋体"/>
          <w:sz w:val="20"/>
          <w:szCs w:val="20"/>
        </w:rPr>
        <w:t> </w:t>
      </w:r>
      <w:r>
        <w:rPr>
          <w:rFonts w:hint="eastAsia" w:ascii="宋体" w:hAnsi="宋体" w:eastAsia="宋体"/>
          <w:sz w:val="20"/>
          <w:szCs w:val="20"/>
        </w:rPr>
        <w:br w:type="textWrapping"/>
      </w:r>
      <w:r>
        <w:rPr>
          <w:rFonts w:hint="eastAsia" w:ascii="宋体" w:hAnsi="宋体" w:eastAsia="宋体"/>
          <w:sz w:val="20"/>
          <w:szCs w:val="20"/>
          <w:lang w:val="en-US" w:eastAsia="zh-CN"/>
        </w:rPr>
        <w:t>1、</w:t>
      </w:r>
      <w:r>
        <w:rPr>
          <w:rFonts w:hint="eastAsia" w:ascii="宋体" w:hAnsi="宋体"/>
          <w:sz w:val="20"/>
          <w:szCs w:val="20"/>
          <w:lang w:val="en-US" w:eastAsia="zh-CN"/>
        </w:rPr>
        <w:t>推理的三要素，已知判断</w:t>
      </w:r>
      <w:r>
        <w:rPr>
          <w:rFonts w:hint="eastAsia" w:ascii="宋体" w:hAnsi="宋体" w:eastAsia="宋体"/>
          <w:sz w:val="20"/>
          <w:szCs w:val="20"/>
        </w:rPr>
        <w:t>预设</w:t>
      </w:r>
      <w:r>
        <w:rPr>
          <w:rFonts w:hint="eastAsia" w:ascii="宋体" w:hAnsi="宋体" w:eastAsia="宋体"/>
          <w:sz w:val="20"/>
          <w:szCs w:val="20"/>
          <w:lang w:val="en-US" w:eastAsia="zh-CN"/>
        </w:rPr>
        <w:t>带来的故事</w:t>
      </w:r>
      <w:r>
        <w:rPr>
          <w:rFonts w:hint="eastAsia" w:ascii="宋体" w:hAnsi="宋体" w:eastAsia="宋体"/>
          <w:sz w:val="20"/>
          <w:szCs w:val="20"/>
        </w:rPr>
        <w:t> </w:t>
      </w:r>
    </w:p>
    <w:p>
      <w:pPr>
        <w:numPr>
          <w:ilvl w:val="0"/>
          <w:numId w:val="0"/>
        </w:numPr>
        <w:snapToGrid w:val="0"/>
        <w:spacing w:line="288" w:lineRule="auto"/>
        <w:ind w:leftChars="0"/>
        <w:rPr>
          <w:rFonts w:hint="eastAsia" w:ascii="宋体" w:hAnsi="宋体" w:eastAsia="宋体"/>
          <w:sz w:val="20"/>
          <w:szCs w:val="20"/>
          <w:lang w:eastAsia="zh-CN"/>
        </w:rPr>
      </w:pPr>
      <w:r>
        <w:rPr>
          <w:rFonts w:hint="eastAsia" w:ascii="宋体" w:hAnsi="宋体"/>
          <w:sz w:val="20"/>
          <w:szCs w:val="20"/>
          <w:lang w:val="en-US" w:eastAsia="zh-CN"/>
        </w:rPr>
        <w:t>2</w:t>
      </w:r>
      <w:r>
        <w:rPr>
          <w:rFonts w:hint="eastAsia" w:ascii="宋体" w:hAnsi="宋体" w:eastAsia="宋体"/>
          <w:sz w:val="20"/>
          <w:szCs w:val="20"/>
          <w:lang w:val="en-US" w:eastAsia="zh-CN"/>
        </w:rPr>
        <w:t>、</w:t>
      </w:r>
      <w:r>
        <w:rPr>
          <w:rFonts w:hint="eastAsia" w:ascii="宋体" w:hAnsi="宋体" w:eastAsia="宋体"/>
          <w:sz w:val="20"/>
          <w:szCs w:val="20"/>
        </w:rPr>
        <w:t>推理</w:t>
      </w:r>
      <w:r>
        <w:rPr>
          <w:rFonts w:hint="eastAsia" w:ascii="宋体" w:hAnsi="宋体" w:eastAsia="宋体"/>
          <w:sz w:val="20"/>
          <w:szCs w:val="20"/>
          <w:lang w:eastAsia="zh-CN"/>
        </w:rPr>
        <w:t>—</w:t>
      </w:r>
      <w:r>
        <w:rPr>
          <w:rFonts w:hint="eastAsia" w:ascii="宋体" w:hAnsi="宋体" w:eastAsia="宋体"/>
          <w:sz w:val="20"/>
          <w:szCs w:val="20"/>
          <w:lang w:val="en-US" w:eastAsia="zh-CN"/>
        </w:rPr>
        <w:t>趣味逻辑的发源地</w:t>
      </w:r>
      <w:r>
        <w:rPr>
          <w:rFonts w:hint="eastAsia" w:ascii="宋体" w:hAnsi="宋体" w:eastAsia="宋体"/>
          <w:sz w:val="20"/>
          <w:szCs w:val="20"/>
        </w:rPr>
        <w:t> </w:t>
      </w:r>
      <w:r>
        <w:rPr>
          <w:rFonts w:hint="eastAsia" w:ascii="宋体" w:hAnsi="宋体" w:eastAsia="宋体"/>
          <w:sz w:val="20"/>
          <w:szCs w:val="20"/>
        </w:rPr>
        <w:br w:type="textWrapping"/>
      </w:r>
      <w:r>
        <w:rPr>
          <w:rFonts w:hint="eastAsia" w:ascii="宋体" w:hAnsi="宋体"/>
          <w:sz w:val="20"/>
          <w:szCs w:val="20"/>
          <w:lang w:val="en-US" w:eastAsia="zh-CN"/>
        </w:rPr>
        <w:t>3、</w:t>
      </w:r>
      <w:r>
        <w:rPr>
          <w:rFonts w:hint="eastAsia" w:ascii="宋体" w:hAnsi="宋体" w:eastAsia="宋体"/>
          <w:sz w:val="20"/>
          <w:szCs w:val="20"/>
        </w:rPr>
        <w:t>类比推理</w:t>
      </w:r>
      <w:r>
        <w:rPr>
          <w:rFonts w:hint="eastAsia" w:ascii="宋体" w:hAnsi="宋体"/>
          <w:sz w:val="20"/>
          <w:szCs w:val="20"/>
          <w:lang w:eastAsia="zh-CN"/>
        </w:rPr>
        <w:t>、</w:t>
      </w:r>
      <w:r>
        <w:rPr>
          <w:rFonts w:hint="eastAsia" w:ascii="宋体" w:hAnsi="宋体" w:eastAsia="宋体"/>
          <w:sz w:val="20"/>
          <w:szCs w:val="20"/>
        </w:rPr>
        <w:t>归纳推理</w:t>
      </w:r>
      <w:r>
        <w:rPr>
          <w:rFonts w:hint="eastAsia" w:ascii="宋体" w:hAnsi="宋体"/>
          <w:sz w:val="20"/>
          <w:szCs w:val="20"/>
          <w:lang w:eastAsia="zh-CN"/>
        </w:rPr>
        <w:t>、</w:t>
      </w:r>
      <w:r>
        <w:rPr>
          <w:rFonts w:hint="eastAsia" w:ascii="宋体" w:hAnsi="宋体" w:eastAsia="宋体"/>
          <w:sz w:val="20"/>
          <w:szCs w:val="20"/>
        </w:rPr>
        <w:t>演绎推理</w:t>
      </w:r>
      <w:r>
        <w:rPr>
          <w:rFonts w:hint="eastAsia" w:ascii="宋体" w:hAnsi="宋体"/>
          <w:sz w:val="20"/>
          <w:szCs w:val="20"/>
          <w:lang w:val="en-US" w:eastAsia="zh-CN"/>
        </w:rPr>
        <w:t>概述</w:t>
      </w:r>
    </w:p>
    <w:p>
      <w:pPr>
        <w:numPr>
          <w:ilvl w:val="0"/>
          <w:numId w:val="0"/>
        </w:numPr>
        <w:snapToGrid w:val="0"/>
        <w:spacing w:line="288" w:lineRule="auto"/>
        <w:ind w:leftChars="0"/>
        <w:rPr>
          <w:rFonts w:hint="eastAsia" w:ascii="宋体" w:hAnsi="宋体" w:eastAsia="宋体"/>
          <w:sz w:val="20"/>
          <w:szCs w:val="20"/>
        </w:rPr>
      </w:pPr>
      <w:r>
        <w:rPr>
          <w:rFonts w:hint="eastAsia" w:ascii="宋体" w:hAnsi="宋体"/>
          <w:sz w:val="20"/>
          <w:szCs w:val="20"/>
          <w:lang w:val="en-US" w:eastAsia="zh-CN"/>
        </w:rPr>
        <w:t>4、因果推理 —穆勒五法</w:t>
      </w:r>
      <w:r>
        <w:rPr>
          <w:rFonts w:hint="eastAsia" w:ascii="宋体" w:hAnsi="宋体" w:eastAsia="宋体"/>
          <w:sz w:val="20"/>
          <w:szCs w:val="20"/>
        </w:rPr>
        <w:t> </w:t>
      </w:r>
      <w:r>
        <w:rPr>
          <w:rFonts w:hint="eastAsia" w:ascii="宋体" w:hAnsi="宋体" w:eastAsia="宋体"/>
          <w:sz w:val="20"/>
          <w:szCs w:val="20"/>
        </w:rPr>
        <w:br w:type="textWrapping"/>
      </w:r>
      <w:r>
        <w:rPr>
          <w:rFonts w:hint="eastAsia" w:ascii="宋体" w:hAnsi="宋体" w:eastAsia="宋体"/>
          <w:sz w:val="20"/>
          <w:szCs w:val="20"/>
          <w:lang w:val="en-US" w:eastAsia="zh-CN"/>
        </w:rPr>
        <w:t xml:space="preserve">   </w:t>
      </w:r>
      <w:r>
        <w:rPr>
          <w:rFonts w:hint="eastAsia" w:ascii="宋体" w:hAnsi="宋体" w:eastAsia="宋体"/>
          <w:sz w:val="20"/>
          <w:szCs w:val="20"/>
        </w:rPr>
        <w:t>第二部分</w:t>
      </w:r>
      <w:r>
        <w:rPr>
          <w:rFonts w:hint="eastAsia" w:ascii="宋体" w:hAnsi="宋体"/>
          <w:sz w:val="20"/>
          <w:szCs w:val="20"/>
          <w:lang w:val="en-US" w:eastAsia="zh-CN"/>
        </w:rPr>
        <w:t>逻辑推理——</w:t>
      </w:r>
      <w:r>
        <w:rPr>
          <w:rFonts w:hint="eastAsia" w:ascii="宋体" w:hAnsi="宋体" w:eastAsia="宋体"/>
          <w:sz w:val="20"/>
          <w:szCs w:val="20"/>
        </w:rPr>
        <w:t>应用篇 </w:t>
      </w:r>
      <w:bookmarkStart w:id="0" w:name="_GoBack"/>
      <w:bookmarkEnd w:id="0"/>
    </w:p>
    <w:p>
      <w:pPr>
        <w:snapToGrid w:val="0"/>
        <w:spacing w:line="288" w:lineRule="auto"/>
        <w:ind w:left="0" w:leftChars="0" w:firstLine="0" w:firstLineChars="0"/>
        <w:rPr>
          <w:rFonts w:hint="eastAsia" w:ascii="宋体" w:hAnsi="宋体"/>
          <w:sz w:val="20"/>
          <w:szCs w:val="20"/>
          <w:lang w:val="en-US" w:eastAsia="zh-CN"/>
        </w:rPr>
      </w:pPr>
      <w:r>
        <w:rPr>
          <w:rFonts w:hint="eastAsia" w:ascii="宋体" w:hAnsi="宋体"/>
          <w:sz w:val="20"/>
          <w:szCs w:val="20"/>
          <w:lang w:val="en-US" w:eastAsia="zh-CN"/>
        </w:rPr>
        <w:t>三</w:t>
      </w:r>
      <w:r>
        <w:rPr>
          <w:rFonts w:hint="eastAsia" w:ascii="宋体" w:hAnsi="宋体" w:eastAsia="宋体"/>
          <w:sz w:val="20"/>
          <w:szCs w:val="20"/>
          <w:lang w:val="en-US" w:eastAsia="zh-CN"/>
        </w:rPr>
        <w:t>、</w:t>
      </w:r>
      <w:r>
        <w:rPr>
          <w:rFonts w:hint="eastAsia" w:ascii="宋体" w:hAnsi="宋体"/>
          <w:sz w:val="20"/>
          <w:szCs w:val="20"/>
          <w:lang w:val="en-US" w:eastAsia="zh-CN"/>
        </w:rPr>
        <w:t>生活与</w:t>
      </w:r>
      <w:r>
        <w:rPr>
          <w:rFonts w:hint="eastAsia" w:ascii="宋体" w:hAnsi="宋体" w:eastAsia="宋体"/>
          <w:sz w:val="20"/>
          <w:szCs w:val="20"/>
        </w:rPr>
        <w:t>法律中的逻辑 </w:t>
      </w:r>
      <w:r>
        <w:rPr>
          <w:rFonts w:hint="eastAsia" w:ascii="宋体" w:hAnsi="宋体" w:eastAsia="宋体"/>
          <w:sz w:val="20"/>
          <w:szCs w:val="20"/>
        </w:rPr>
        <w:br w:type="textWrapping"/>
      </w:r>
      <w:r>
        <w:rPr>
          <w:rFonts w:hint="eastAsia" w:ascii="宋体" w:hAnsi="宋体" w:eastAsia="宋体"/>
          <w:sz w:val="20"/>
          <w:szCs w:val="20"/>
          <w:lang w:val="en-US" w:eastAsia="zh-CN"/>
        </w:rPr>
        <w:t>1、</w:t>
      </w:r>
      <w:r>
        <w:rPr>
          <w:rFonts w:hint="eastAsia" w:ascii="宋体" w:hAnsi="宋体" w:eastAsia="宋体"/>
          <w:sz w:val="20"/>
          <w:szCs w:val="20"/>
        </w:rPr>
        <w:t>法律逻辑学入门 </w:t>
      </w:r>
      <w:r>
        <w:rPr>
          <w:rFonts w:hint="eastAsia" w:ascii="宋体" w:hAnsi="宋体" w:eastAsia="宋体"/>
          <w:sz w:val="20"/>
          <w:szCs w:val="20"/>
        </w:rPr>
        <w:br w:type="textWrapping"/>
      </w:r>
      <w:r>
        <w:rPr>
          <w:rFonts w:hint="eastAsia" w:ascii="宋体" w:hAnsi="宋体" w:eastAsia="宋体"/>
          <w:sz w:val="20"/>
          <w:szCs w:val="20"/>
          <w:lang w:val="en-US" w:eastAsia="zh-CN"/>
        </w:rPr>
        <w:t>2、</w:t>
      </w:r>
      <w:r>
        <w:rPr>
          <w:rFonts w:hint="eastAsia" w:ascii="宋体" w:hAnsi="宋体"/>
          <w:sz w:val="20"/>
          <w:szCs w:val="20"/>
          <w:lang w:val="en-US" w:eastAsia="zh-CN"/>
        </w:rPr>
        <w:t>刑侦推理（不放过一个坏人和不冤枉一个好人的逻辑矛盾）</w:t>
      </w:r>
      <w:r>
        <w:rPr>
          <w:rFonts w:hint="eastAsia" w:ascii="宋体" w:hAnsi="宋体" w:eastAsia="宋体"/>
          <w:sz w:val="20"/>
          <w:szCs w:val="20"/>
        </w:rPr>
        <w:br w:type="textWrapping"/>
      </w:r>
      <w:r>
        <w:rPr>
          <w:rFonts w:hint="eastAsia" w:ascii="宋体" w:hAnsi="宋体" w:eastAsia="宋体"/>
          <w:sz w:val="20"/>
          <w:szCs w:val="20"/>
          <w:lang w:val="en-US" w:eastAsia="zh-CN"/>
        </w:rPr>
        <w:t>3、</w:t>
      </w:r>
      <w:r>
        <w:rPr>
          <w:rFonts w:hint="eastAsia" w:ascii="宋体" w:hAnsi="宋体"/>
          <w:sz w:val="20"/>
          <w:szCs w:val="20"/>
          <w:lang w:val="en-US" w:eastAsia="zh-CN"/>
        </w:rPr>
        <w:t>审判、判决推理（公平公正的逻辑判断）</w:t>
      </w:r>
    </w:p>
    <w:p>
      <w:pPr>
        <w:snapToGrid w:val="0"/>
        <w:spacing w:line="288" w:lineRule="auto"/>
        <w:ind w:left="0" w:leftChars="0" w:firstLine="0" w:firstLineChars="0"/>
        <w:rPr>
          <w:rFonts w:hint="default" w:ascii="宋体" w:hAnsi="宋体" w:eastAsia="宋体"/>
          <w:sz w:val="20"/>
          <w:szCs w:val="20"/>
          <w:lang w:val="en-US" w:eastAsia="zh-CN"/>
        </w:rPr>
      </w:pPr>
      <w:r>
        <w:rPr>
          <w:rFonts w:hint="eastAsia" w:ascii="宋体" w:hAnsi="宋体"/>
          <w:sz w:val="20"/>
          <w:szCs w:val="20"/>
          <w:lang w:val="en-US" w:eastAsia="zh-CN"/>
        </w:rPr>
        <w:t>4</w:t>
      </w:r>
      <w:r>
        <w:rPr>
          <w:rFonts w:hint="eastAsia" w:ascii="宋体" w:hAnsi="宋体" w:eastAsia="宋体"/>
          <w:sz w:val="20"/>
          <w:szCs w:val="20"/>
          <w:lang w:val="en-US" w:eastAsia="zh-CN"/>
        </w:rPr>
        <w:t>、</w:t>
      </w:r>
      <w:r>
        <w:rPr>
          <w:rFonts w:hint="eastAsia" w:ascii="宋体" w:hAnsi="宋体"/>
          <w:sz w:val="20"/>
          <w:szCs w:val="20"/>
          <w:lang w:val="en-US" w:eastAsia="zh-CN"/>
        </w:rPr>
        <w:t>犯罪心理中的逻辑推理</w:t>
      </w:r>
      <w:r>
        <w:rPr>
          <w:rFonts w:hint="eastAsia" w:ascii="宋体" w:hAnsi="宋体" w:eastAsia="宋体"/>
          <w:sz w:val="20"/>
          <w:szCs w:val="20"/>
        </w:rPr>
        <w:t> </w:t>
      </w:r>
      <w:r>
        <w:rPr>
          <w:rFonts w:hint="eastAsia" w:ascii="宋体" w:hAnsi="宋体" w:eastAsia="宋体"/>
          <w:sz w:val="20"/>
          <w:szCs w:val="20"/>
        </w:rPr>
        <w:br w:type="textWrapping"/>
      </w:r>
      <w:r>
        <w:rPr>
          <w:rFonts w:hint="eastAsia" w:ascii="宋体" w:hAnsi="宋体"/>
          <w:sz w:val="20"/>
          <w:szCs w:val="20"/>
          <w:lang w:val="en-US" w:eastAsia="zh-CN"/>
        </w:rPr>
        <w:t>四</w:t>
      </w:r>
      <w:r>
        <w:rPr>
          <w:rFonts w:hint="eastAsia" w:ascii="宋体" w:hAnsi="宋体" w:eastAsia="宋体"/>
          <w:sz w:val="20"/>
          <w:szCs w:val="20"/>
          <w:lang w:val="en-US" w:eastAsia="zh-CN"/>
        </w:rPr>
        <w:t>、</w:t>
      </w:r>
      <w:r>
        <w:rPr>
          <w:rFonts w:hint="eastAsia" w:ascii="宋体" w:hAnsi="宋体" w:eastAsia="宋体"/>
          <w:sz w:val="20"/>
          <w:szCs w:val="20"/>
        </w:rPr>
        <w:t>推理小说中的逻辑 </w:t>
      </w:r>
      <w:r>
        <w:rPr>
          <w:rFonts w:hint="eastAsia" w:ascii="宋体" w:hAnsi="宋体" w:eastAsia="宋体"/>
          <w:sz w:val="20"/>
          <w:szCs w:val="20"/>
        </w:rPr>
        <w:br w:type="textWrapping"/>
      </w:r>
      <w:r>
        <w:rPr>
          <w:rFonts w:hint="eastAsia" w:ascii="宋体" w:hAnsi="宋体" w:eastAsia="宋体"/>
          <w:sz w:val="20"/>
          <w:szCs w:val="20"/>
          <w:lang w:val="en-US" w:eastAsia="zh-CN"/>
        </w:rPr>
        <w:t>1、</w:t>
      </w:r>
      <w:r>
        <w:rPr>
          <w:rFonts w:hint="eastAsia" w:ascii="宋体" w:hAnsi="宋体"/>
          <w:sz w:val="20"/>
          <w:szCs w:val="20"/>
          <w:lang w:val="en-US" w:eastAsia="zh-CN"/>
        </w:rPr>
        <w:t>推理小说的特点与分类</w:t>
      </w:r>
    </w:p>
    <w:p>
      <w:pPr>
        <w:snapToGrid w:val="0"/>
        <w:spacing w:line="288" w:lineRule="auto"/>
        <w:ind w:left="0" w:leftChars="0" w:firstLine="0" w:firstLineChars="0"/>
        <w:rPr>
          <w:rFonts w:hint="eastAsia" w:ascii="宋体" w:hAnsi="宋体" w:eastAsia="宋体"/>
          <w:sz w:val="20"/>
          <w:szCs w:val="20"/>
        </w:rPr>
      </w:pPr>
      <w:r>
        <w:rPr>
          <w:rFonts w:hint="eastAsia" w:ascii="宋体" w:hAnsi="宋体" w:eastAsia="宋体"/>
          <w:sz w:val="20"/>
          <w:szCs w:val="20"/>
          <w:lang w:val="en-US" w:eastAsia="zh-CN"/>
        </w:rPr>
        <w:t>2、</w:t>
      </w:r>
      <w:r>
        <w:rPr>
          <w:rFonts w:hint="eastAsia" w:ascii="宋体" w:hAnsi="宋体" w:eastAsia="宋体"/>
          <w:sz w:val="20"/>
          <w:szCs w:val="20"/>
        </w:rPr>
        <w:t>福尔摩斯的演绎 </w:t>
      </w:r>
      <w:r>
        <w:rPr>
          <w:rFonts w:hint="eastAsia" w:ascii="宋体" w:hAnsi="宋体"/>
          <w:sz w:val="20"/>
          <w:szCs w:val="20"/>
          <w:lang w:val="en-US" w:eastAsia="zh-CN"/>
        </w:rPr>
        <w:t>演绎法在小说中的运用</w:t>
      </w:r>
      <w:r>
        <w:rPr>
          <w:rFonts w:hint="eastAsia" w:ascii="宋体" w:hAnsi="宋体" w:eastAsia="宋体"/>
          <w:sz w:val="20"/>
          <w:szCs w:val="20"/>
        </w:rPr>
        <w:t> </w:t>
      </w:r>
      <w:r>
        <w:rPr>
          <w:rFonts w:hint="eastAsia" w:ascii="宋体" w:hAnsi="宋体" w:eastAsia="宋体"/>
          <w:sz w:val="20"/>
          <w:szCs w:val="20"/>
        </w:rPr>
        <w:br w:type="textWrapping"/>
      </w:r>
      <w:r>
        <w:rPr>
          <w:rFonts w:hint="eastAsia" w:ascii="宋体" w:hAnsi="宋体" w:eastAsia="宋体"/>
          <w:sz w:val="20"/>
          <w:szCs w:val="20"/>
          <w:lang w:val="en-US" w:eastAsia="zh-CN"/>
        </w:rPr>
        <w:t>3、</w:t>
      </w:r>
      <w:r>
        <w:rPr>
          <w:rFonts w:hint="eastAsia" w:ascii="宋体" w:hAnsi="宋体" w:eastAsia="宋体"/>
          <w:sz w:val="20"/>
          <w:szCs w:val="20"/>
        </w:rPr>
        <w:t>阿加莎与人性 </w:t>
      </w:r>
    </w:p>
    <w:p>
      <w:pPr>
        <w:snapToGrid w:val="0"/>
        <w:spacing w:line="288" w:lineRule="auto"/>
        <w:ind w:left="0" w:leftChars="0" w:firstLine="0" w:firstLineChars="0"/>
        <w:rPr>
          <w:rFonts w:hint="eastAsia" w:ascii="黑体" w:hAnsi="黑体" w:eastAsia="黑体" w:cs="黑体"/>
          <w:sz w:val="24"/>
          <w:szCs w:val="24"/>
        </w:rPr>
      </w:pPr>
      <w:r>
        <w:rPr>
          <w:rFonts w:hint="eastAsia" w:ascii="宋体" w:hAnsi="宋体"/>
          <w:sz w:val="20"/>
          <w:szCs w:val="20"/>
          <w:lang w:val="en-US" w:eastAsia="zh-CN"/>
        </w:rPr>
        <w:t>4、</w:t>
      </w:r>
      <w:r>
        <w:rPr>
          <w:rFonts w:hint="eastAsia" w:ascii="宋体" w:hAnsi="宋体" w:eastAsia="宋体"/>
          <w:sz w:val="20"/>
          <w:szCs w:val="20"/>
        </w:rPr>
        <w:t>希区柯克与悬念</w:t>
      </w:r>
      <w:r>
        <w:rPr>
          <w:rFonts w:hint="eastAsia" w:ascii="宋体" w:hAnsi="宋体" w:eastAsia="宋体"/>
          <w:sz w:val="20"/>
          <w:szCs w:val="20"/>
        </w:rPr>
        <w:br w:type="textWrapping"/>
      </w:r>
      <w:r>
        <w:rPr>
          <w:rFonts w:hint="eastAsia" w:ascii="宋体" w:hAnsi="宋体" w:eastAsia="宋体"/>
          <w:sz w:val="20"/>
          <w:szCs w:val="20"/>
          <w:lang w:val="en-US" w:eastAsia="zh-CN"/>
        </w:rPr>
        <w:t>五、</w:t>
      </w:r>
      <w:r>
        <w:rPr>
          <w:rFonts w:hint="eastAsia" w:ascii="宋体" w:hAnsi="宋体"/>
          <w:sz w:val="20"/>
          <w:szCs w:val="20"/>
          <w:lang w:val="en-US" w:eastAsia="zh-CN"/>
        </w:rPr>
        <w:t>博弈推理，推理决策。</w:t>
      </w:r>
      <w:r>
        <w:rPr>
          <w:rFonts w:hint="eastAsia" w:ascii="宋体" w:hAnsi="宋体" w:eastAsia="宋体"/>
          <w:sz w:val="20"/>
          <w:szCs w:val="20"/>
        </w:rPr>
        <w:br w:type="textWrapping"/>
      </w:r>
      <w:r>
        <w:rPr>
          <w:rFonts w:hint="eastAsia" w:ascii="黑体" w:hAnsi="黑体" w:eastAsia="黑体" w:cs="黑体"/>
          <w:sz w:val="24"/>
          <w:szCs w:val="24"/>
          <w:lang w:val="en-US" w:eastAsia="zh-CN"/>
        </w:rPr>
        <w:t>六</w:t>
      </w:r>
      <w:r>
        <w:rPr>
          <w:rFonts w:hint="eastAsia" w:ascii="黑体" w:hAnsi="黑体" w:eastAsia="黑体" w:cs="黑体"/>
          <w:sz w:val="24"/>
          <w:szCs w:val="24"/>
        </w:rPr>
        <w:t>、评价方式与成绩</w:t>
      </w:r>
    </w:p>
    <w:tbl>
      <w:tblPr>
        <w:tblStyle w:val="6"/>
        <w:tblpPr w:leftFromText="180" w:rightFromText="180" w:vertAnchor="text" w:horzAnchor="page" w:tblpX="1537" w:tblpY="12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napToGrid w:val="0"/>
              <w:spacing w:beforeLines="50" w:afterLines="50"/>
              <w:ind w:left="400" w:leftChars="200" w:firstLine="0" w:firstLineChars="0"/>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eastAsia="zh-CN"/>
              </w:rPr>
              <w:t>（</w:t>
            </w:r>
            <w:r>
              <w:rPr>
                <w:rFonts w:hint="eastAsia" w:ascii="宋体" w:hAnsi="宋体"/>
                <w:bCs/>
                <w:color w:val="000000"/>
                <w:szCs w:val="20"/>
                <w:lang w:val="en-US" w:eastAsia="zh-CN"/>
              </w:rPr>
              <w:t>x</w:t>
            </w:r>
            <w:r>
              <w:rPr>
                <w:rFonts w:hint="eastAsia" w:ascii="宋体" w:hAnsi="宋体"/>
                <w:bCs/>
                <w:color w:val="000000"/>
                <w:szCs w:val="20"/>
                <w:lang w:eastAsia="zh-CN"/>
              </w:rPr>
              <w:t>）</w:t>
            </w:r>
          </w:p>
        </w:tc>
        <w:tc>
          <w:tcPr>
            <w:tcW w:w="5103" w:type="dxa"/>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X1</w:t>
            </w:r>
          </w:p>
        </w:tc>
        <w:tc>
          <w:tcPr>
            <w:tcW w:w="5103" w:type="dxa"/>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eastAsia="宋体"/>
                <w:bCs/>
                <w:color w:val="000000"/>
                <w:szCs w:val="20"/>
                <w:lang w:val="en-US" w:eastAsia="zh-CN"/>
              </w:rPr>
              <w:t>作业1（归纳推理）</w:t>
            </w:r>
          </w:p>
        </w:tc>
        <w:tc>
          <w:tcPr>
            <w:tcW w:w="1843" w:type="dxa"/>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X2</w:t>
            </w:r>
          </w:p>
        </w:tc>
        <w:tc>
          <w:tcPr>
            <w:tcW w:w="5103" w:type="dxa"/>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作业2 （推理综合）</w:t>
            </w:r>
          </w:p>
        </w:tc>
        <w:tc>
          <w:tcPr>
            <w:tcW w:w="1843" w:type="dxa"/>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X3</w:t>
            </w:r>
          </w:p>
        </w:tc>
        <w:tc>
          <w:tcPr>
            <w:tcW w:w="5103" w:type="dxa"/>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期末论文</w:t>
            </w:r>
          </w:p>
        </w:tc>
        <w:tc>
          <w:tcPr>
            <w:tcW w:w="1843" w:type="dxa"/>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50%</w:t>
            </w:r>
          </w:p>
        </w:tc>
      </w:tr>
    </w:tbl>
    <w:p/>
    <w:p/>
    <w:p>
      <w:pPr>
        <w:rPr>
          <w:rFonts w:hint="default"/>
          <w:lang w:val="en-US"/>
        </w:rPr>
      </w:pPr>
      <w:r>
        <w:rPr>
          <w:rFonts w:hint="eastAsia"/>
        </w:rPr>
        <w:t xml:space="preserve">撰写：   </w:t>
      </w:r>
      <w:r>
        <w:drawing>
          <wp:inline distT="0" distB="0" distL="114300" distR="114300">
            <wp:extent cx="426720" cy="271145"/>
            <wp:effectExtent l="0" t="0" r="1143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26720" cy="271145"/>
                    </a:xfrm>
                    <a:prstGeom prst="rect">
                      <a:avLst/>
                    </a:prstGeom>
                    <a:noFill/>
                    <a:ln>
                      <a:noFill/>
                    </a:ln>
                  </pic:spPr>
                </pic:pic>
              </a:graphicData>
            </a:graphic>
          </wp:inline>
        </w:drawing>
      </w:r>
      <w:r>
        <w:rPr>
          <w:rFonts w:hint="eastAsia"/>
        </w:rPr>
        <w:t xml:space="preserve">                  系主任审核： </w:t>
      </w:r>
      <w:r>
        <w:drawing>
          <wp:inline distT="0" distB="0" distL="114300" distR="114300">
            <wp:extent cx="426720" cy="271145"/>
            <wp:effectExtent l="0" t="0" r="1143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26720" cy="271145"/>
                    </a:xfrm>
                    <a:prstGeom prst="rect">
                      <a:avLst/>
                    </a:prstGeom>
                    <a:noFill/>
                    <a:ln>
                      <a:noFill/>
                    </a:ln>
                  </pic:spPr>
                </pic:pic>
              </a:graphicData>
            </a:graphic>
          </wp:inline>
        </w:drawing>
      </w:r>
      <w:r>
        <w:rPr>
          <w:rFonts w:hint="eastAsia"/>
          <w:lang w:val="en-US" w:eastAsia="zh-CN"/>
        </w:rPr>
        <w:t xml:space="preserve">      </w:t>
      </w:r>
      <w:r>
        <w:rPr>
          <w:rFonts w:hint="eastAsia"/>
        </w:rPr>
        <w:t xml:space="preserve"> 20</w:t>
      </w:r>
      <w:r>
        <w:rPr>
          <w:rFonts w:hint="eastAsia"/>
          <w:lang w:val="en-US" w:eastAsia="zh-CN"/>
        </w:rPr>
        <w:t>2208</w:t>
      </w:r>
    </w:p>
    <w:sectPr>
      <w:headerReference r:id="rId5" w:type="first"/>
      <w:footerReference r:id="rId8" w:type="first"/>
      <w:headerReference r:id="rId3" w:type="default"/>
      <w:footerReference r:id="rId6" w:type="default"/>
      <w:headerReference r:id="rId4" w:type="even"/>
      <w:footerReference r:id="rId7" w:type="even"/>
      <w:pgSz w:w="11906" w:h="16838"/>
      <w:pgMar w:top="1361" w:right="1361" w:bottom="1191" w:left="147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 w:name="PMingLiU">
    <w:altName w:val="Microsoft JhengHei UI"/>
    <w:panose1 w:val="02010601000101010101"/>
    <w:charset w:val="88"/>
    <w:family w:val="auto"/>
    <w:pitch w:val="variable"/>
    <w:sig w:usb0="A00002FF" w:usb1="28CFFCFA" w:usb2="00000016" w:usb3="00000000" w:csb0="00100001" w:csb1="00000000"/>
  </w:font>
  <w:font w:name="Cambria Math">
    <w:panose1 w:val="02040503050406030204"/>
    <w:charset w:val="00"/>
    <w:family w:val="auto"/>
    <w:pitch w:val="variable"/>
    <w:sig w:usb0="E00006FF" w:usb1="420024FF" w:usb2="02000000" w:usb3="00000000" w:csb0="2000019F" w:csb1="00000000"/>
  </w:font>
  <w:font w:name="@PMingLiU">
    <w:altName w:val="Microsoft JhengHei UI"/>
    <w:panose1 w:val="02010601000101010101"/>
    <w:charset w:val="88"/>
    <w:family w:val="auto"/>
    <w:pitch w:val="variable"/>
    <w:sig w:usb0="A00002FF" w:usb1="28CFFCFA"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rPr>
        <w:rFonts w:hint="eastAsia"/>
      </w:rPr>
      <w:t>注：教学大纲电子版公布在本学院课程网站上，并发送到教务处存档。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jc w:val="both"/>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1F794"/>
    <w:multiLevelType w:val="singleLevel"/>
    <w:tmpl w:val="5AA1F79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F1EF5"/>
    <w:rsid w:val="0000262E"/>
    <w:rsid w:val="00020106"/>
    <w:rsid w:val="00026460"/>
    <w:rsid w:val="00055EBA"/>
    <w:rsid w:val="000673CF"/>
    <w:rsid w:val="00090FAE"/>
    <w:rsid w:val="00125C1E"/>
    <w:rsid w:val="001307A8"/>
    <w:rsid w:val="00134662"/>
    <w:rsid w:val="00141020"/>
    <w:rsid w:val="00151E3A"/>
    <w:rsid w:val="001776B9"/>
    <w:rsid w:val="001A4F83"/>
    <w:rsid w:val="001A5427"/>
    <w:rsid w:val="001C54E4"/>
    <w:rsid w:val="001E1C7F"/>
    <w:rsid w:val="00202979"/>
    <w:rsid w:val="00202F4A"/>
    <w:rsid w:val="00205691"/>
    <w:rsid w:val="00256EDB"/>
    <w:rsid w:val="002634A1"/>
    <w:rsid w:val="0026543E"/>
    <w:rsid w:val="002C436C"/>
    <w:rsid w:val="00300E03"/>
    <w:rsid w:val="0031179D"/>
    <w:rsid w:val="00315E89"/>
    <w:rsid w:val="00330401"/>
    <w:rsid w:val="00330419"/>
    <w:rsid w:val="003355D1"/>
    <w:rsid w:val="00346C56"/>
    <w:rsid w:val="00365541"/>
    <w:rsid w:val="00372463"/>
    <w:rsid w:val="00387183"/>
    <w:rsid w:val="003B3D68"/>
    <w:rsid w:val="003D779A"/>
    <w:rsid w:val="003F1CC6"/>
    <w:rsid w:val="004257C5"/>
    <w:rsid w:val="004402B5"/>
    <w:rsid w:val="0044644B"/>
    <w:rsid w:val="00450AD1"/>
    <w:rsid w:val="00471FC4"/>
    <w:rsid w:val="0047424F"/>
    <w:rsid w:val="004949DC"/>
    <w:rsid w:val="00495DEF"/>
    <w:rsid w:val="004D27F9"/>
    <w:rsid w:val="0051211E"/>
    <w:rsid w:val="00520C65"/>
    <w:rsid w:val="0054413F"/>
    <w:rsid w:val="00544DCA"/>
    <w:rsid w:val="00585959"/>
    <w:rsid w:val="005C375A"/>
    <w:rsid w:val="005D539E"/>
    <w:rsid w:val="005D7251"/>
    <w:rsid w:val="00607749"/>
    <w:rsid w:val="00616A2F"/>
    <w:rsid w:val="0063700B"/>
    <w:rsid w:val="0063732C"/>
    <w:rsid w:val="00655EE7"/>
    <w:rsid w:val="006617D8"/>
    <w:rsid w:val="0067063F"/>
    <w:rsid w:val="00683AD6"/>
    <w:rsid w:val="006A1A83"/>
    <w:rsid w:val="006B02B5"/>
    <w:rsid w:val="006C2E7E"/>
    <w:rsid w:val="006E5CAD"/>
    <w:rsid w:val="006F1EF5"/>
    <w:rsid w:val="006F4DF7"/>
    <w:rsid w:val="00707550"/>
    <w:rsid w:val="00721CBA"/>
    <w:rsid w:val="00724190"/>
    <w:rsid w:val="00741D4A"/>
    <w:rsid w:val="00744C4E"/>
    <w:rsid w:val="007A33B9"/>
    <w:rsid w:val="007C48AE"/>
    <w:rsid w:val="007D5726"/>
    <w:rsid w:val="007D600D"/>
    <w:rsid w:val="007F16D0"/>
    <w:rsid w:val="0083755D"/>
    <w:rsid w:val="008C1FDB"/>
    <w:rsid w:val="00907FDB"/>
    <w:rsid w:val="00933102"/>
    <w:rsid w:val="00943DEF"/>
    <w:rsid w:val="00950881"/>
    <w:rsid w:val="00963D30"/>
    <w:rsid w:val="00975AFA"/>
    <w:rsid w:val="00987C5B"/>
    <w:rsid w:val="009A59CF"/>
    <w:rsid w:val="009C7503"/>
    <w:rsid w:val="009D37A1"/>
    <w:rsid w:val="00A22483"/>
    <w:rsid w:val="00A312A5"/>
    <w:rsid w:val="00A40438"/>
    <w:rsid w:val="00A40665"/>
    <w:rsid w:val="00A45B5F"/>
    <w:rsid w:val="00A90778"/>
    <w:rsid w:val="00A91997"/>
    <w:rsid w:val="00AB47DF"/>
    <w:rsid w:val="00AC52B5"/>
    <w:rsid w:val="00AE5FC8"/>
    <w:rsid w:val="00AF20EC"/>
    <w:rsid w:val="00B3314E"/>
    <w:rsid w:val="00B400BA"/>
    <w:rsid w:val="00B64DC8"/>
    <w:rsid w:val="00B75830"/>
    <w:rsid w:val="00B770C0"/>
    <w:rsid w:val="00B9301A"/>
    <w:rsid w:val="00B962AE"/>
    <w:rsid w:val="00BB7C3C"/>
    <w:rsid w:val="00BD38DB"/>
    <w:rsid w:val="00BD45B6"/>
    <w:rsid w:val="00BF12AB"/>
    <w:rsid w:val="00C016A0"/>
    <w:rsid w:val="00C11CF6"/>
    <w:rsid w:val="00C44D17"/>
    <w:rsid w:val="00C76312"/>
    <w:rsid w:val="00C847B5"/>
    <w:rsid w:val="00CC0883"/>
    <w:rsid w:val="00CC16DA"/>
    <w:rsid w:val="00CD0D92"/>
    <w:rsid w:val="00CD356D"/>
    <w:rsid w:val="00CE78C5"/>
    <w:rsid w:val="00D10E34"/>
    <w:rsid w:val="00D13FE5"/>
    <w:rsid w:val="00D4117C"/>
    <w:rsid w:val="00D4471C"/>
    <w:rsid w:val="00D5188B"/>
    <w:rsid w:val="00D60930"/>
    <w:rsid w:val="00D658EC"/>
    <w:rsid w:val="00D80AF5"/>
    <w:rsid w:val="00D942DA"/>
    <w:rsid w:val="00DA67DD"/>
    <w:rsid w:val="00DB206F"/>
    <w:rsid w:val="00DC2BDB"/>
    <w:rsid w:val="00E02ECD"/>
    <w:rsid w:val="00E32596"/>
    <w:rsid w:val="00E4185F"/>
    <w:rsid w:val="00E46E66"/>
    <w:rsid w:val="00E665A1"/>
    <w:rsid w:val="00E72799"/>
    <w:rsid w:val="00EA323E"/>
    <w:rsid w:val="00EA3F38"/>
    <w:rsid w:val="00EA562B"/>
    <w:rsid w:val="00F00598"/>
    <w:rsid w:val="00F00C83"/>
    <w:rsid w:val="00F314E7"/>
    <w:rsid w:val="00F528D0"/>
    <w:rsid w:val="00F70CA1"/>
    <w:rsid w:val="00F72CBD"/>
    <w:rsid w:val="00F86B28"/>
    <w:rsid w:val="00FD3D8C"/>
    <w:rsid w:val="02502346"/>
    <w:rsid w:val="049F2E76"/>
    <w:rsid w:val="04C01587"/>
    <w:rsid w:val="058A6F32"/>
    <w:rsid w:val="05A2686D"/>
    <w:rsid w:val="07EF31C8"/>
    <w:rsid w:val="081D2ED0"/>
    <w:rsid w:val="09287B02"/>
    <w:rsid w:val="0E3C686C"/>
    <w:rsid w:val="0F2273BA"/>
    <w:rsid w:val="125F4BFD"/>
    <w:rsid w:val="14E43091"/>
    <w:rsid w:val="15AF0F18"/>
    <w:rsid w:val="16521D29"/>
    <w:rsid w:val="1A096775"/>
    <w:rsid w:val="204C741A"/>
    <w:rsid w:val="220423B7"/>
    <w:rsid w:val="23E27E47"/>
    <w:rsid w:val="262A3CA5"/>
    <w:rsid w:val="276D5112"/>
    <w:rsid w:val="279A5CC3"/>
    <w:rsid w:val="2A8D09BB"/>
    <w:rsid w:val="2AD20352"/>
    <w:rsid w:val="2FA24770"/>
    <w:rsid w:val="32FE2331"/>
    <w:rsid w:val="3E1F09B7"/>
    <w:rsid w:val="3FC60044"/>
    <w:rsid w:val="40DB14BA"/>
    <w:rsid w:val="4349424C"/>
    <w:rsid w:val="490D4C95"/>
    <w:rsid w:val="49EF40F7"/>
    <w:rsid w:val="4BF26EE3"/>
    <w:rsid w:val="50AA3D98"/>
    <w:rsid w:val="59240A82"/>
    <w:rsid w:val="5BF230AF"/>
    <w:rsid w:val="5E3036ED"/>
    <w:rsid w:val="5F11185C"/>
    <w:rsid w:val="60E9228D"/>
    <w:rsid w:val="642E4B96"/>
    <w:rsid w:val="64A358AC"/>
    <w:rsid w:val="64A853AC"/>
    <w:rsid w:val="652E6C01"/>
    <w:rsid w:val="652F4E53"/>
    <w:rsid w:val="72803449"/>
    <w:rsid w:val="7B4D0E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288" w:lineRule="auto"/>
      <w:ind w:firstLine="400" w:firstLineChars="200"/>
      <w:jc w:val="both"/>
    </w:pPr>
    <w:rPr>
      <w:rFonts w:ascii="Times New Roman" w:hAnsi="Times New Roman" w:eastAsia="宋体" w:cs="Times New Roman"/>
      <w:color w:val="000000"/>
      <w:kern w:val="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short_text"/>
    <w:basedOn w:val="8"/>
    <w:qFormat/>
    <w:uiPriority w:val="0"/>
  </w:style>
  <w:style w:type="character" w:customStyle="1" w:styleId="11">
    <w:name w:val="页眉 Char"/>
    <w:link w:val="4"/>
    <w:qFormat/>
    <w:uiPriority w:val="0"/>
    <w:rPr>
      <w:kern w:val="2"/>
      <w:sz w:val="18"/>
      <w:szCs w:val="18"/>
    </w:rPr>
  </w:style>
  <w:style w:type="character" w:customStyle="1" w:styleId="12">
    <w:name w:val="页脚 Char"/>
    <w:link w:val="3"/>
    <w:qFormat/>
    <w:uiPriority w:val="99"/>
    <w:rPr>
      <w:kern w:val="2"/>
      <w:sz w:val="18"/>
      <w:szCs w:val="18"/>
    </w:rPr>
  </w:style>
  <w:style w:type="paragraph" w:customStyle="1" w:styleId="13">
    <w:name w:val="列出段落1"/>
    <w:basedOn w:val="1"/>
    <w:qFormat/>
    <w:uiPriority w:val="34"/>
    <w:pPr>
      <w:widowControl/>
      <w:ind w:firstLine="420"/>
      <w:jc w:val="left"/>
    </w:pPr>
    <w:rPr>
      <w:rFonts w:ascii="宋体" w:hAnsi="宋体" w:cs="宋体"/>
      <w:kern w:val="0"/>
      <w:sz w:val="24"/>
    </w:rPr>
  </w:style>
  <w:style w:type="paragraph" w:customStyle="1" w:styleId="14">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10</Pages>
  <Words>1683</Words>
  <Characters>9594</Characters>
  <Lines>79</Lines>
  <Paragraphs>22</Paragraphs>
  <TotalTime>2</TotalTime>
  <ScaleCrop>false</ScaleCrop>
  <LinksUpToDate>false</LinksUpToDate>
  <CharactersWithSpaces>11255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2017-03-02T11:45:00Z</dcterms:created>
  <dc:creator>thtfpc user</dc:creator>
  <cp:lastModifiedBy>GENCH</cp:lastModifiedBy>
  <cp:lastPrinted>2015-03-18T05:19:00Z</cp:lastPrinted>
  <dcterms:modified xsi:type="dcterms:W3CDTF">2022-09-27T10:57:09Z</dcterms:modified>
  <dc:title>上海建桥学院本科课程教学大纲模板</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5621A6752F824154B4123CF1796B9008</vt:lpwstr>
  </property>
</Properties>
</file>