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ascii="楷体" w:hAnsi="楷体" w:eastAsia="楷体" w:cs="宋体"/>
          <w:kern w:val="0"/>
          <w:sz w:val="22"/>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tWR5rUAAAACAEA&#10;AA8AAAAAAAAAAQAgAAAAIgAAAGRycy9kb3ducmV2LnhtbFBLAQIUABQAAAAIAIdO4kBFNI9OVwIA&#10;AJ0EAAAOAAAAAAAAAAEAIAAAACMBAABkcnMvZTJvRG9jLnhtbFBLBQYAAAAABgAGAFkBAADsBQAA&#10;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mc:Fallback>
        </mc:AlternateContent>
      </w:r>
    </w:p>
    <w:p>
      <w:pPr>
        <w:widowControl/>
        <w:snapToGrid w:val="0"/>
        <w:spacing w:line="480" w:lineRule="exact"/>
        <w:jc w:val="center"/>
        <w:textAlignment w:val="center"/>
        <w:rPr>
          <w:b/>
          <w:sz w:val="28"/>
          <w:szCs w:val="30"/>
        </w:rPr>
      </w:pPr>
      <w:r>
        <w:rPr>
          <w:rFonts w:ascii="方正小标宋简体" w:hAnsi="宋体" w:eastAsiaTheme="minorEastAsia"/>
          <w:bCs/>
          <w:kern w:val="0"/>
          <w:sz w:val="40"/>
          <w:szCs w:val="40"/>
        </w:rPr>
        <w:t xml:space="preserve"> </w:t>
      </w:r>
      <w:r>
        <w:rPr>
          <w:rFonts w:hint="eastAsia"/>
          <w:b/>
          <w:sz w:val="28"/>
          <w:szCs w:val="30"/>
        </w:rPr>
        <w:t>【线性代数】</w:t>
      </w:r>
    </w:p>
    <w:p>
      <w:pPr>
        <w:shd w:val="clear" w:color="auto" w:fill="F5F5F5"/>
        <w:jc w:val="center"/>
        <w:textAlignment w:val="center"/>
        <w:rPr>
          <w:rFonts w:ascii="Arial" w:hAnsi="Arial" w:cs="Arial"/>
          <w:kern w:val="0"/>
          <w:sz w:val="24"/>
          <w:szCs w:val="24"/>
          <w:shd w:val="clear" w:color="auto" w:fill="FFFFFF" w:themeFill="background1"/>
        </w:rPr>
      </w:pPr>
      <w:r>
        <w:rPr>
          <w:rFonts w:hint="eastAsia"/>
          <w:b/>
          <w:sz w:val="24"/>
          <w:szCs w:val="24"/>
          <w:shd w:val="clear" w:color="auto" w:fill="FFFFFF" w:themeFill="background1"/>
        </w:rPr>
        <w:t>【</w:t>
      </w:r>
      <w:r>
        <w:rPr>
          <w:b/>
          <w:sz w:val="28"/>
          <w:szCs w:val="30"/>
        </w:rPr>
        <w:t>Linear  Algebra</w:t>
      </w:r>
      <w:r>
        <w:rPr>
          <w:rFonts w:hint="eastAsia"/>
          <w:b/>
          <w:sz w:val="24"/>
          <w:szCs w:val="24"/>
          <w:shd w:val="clear" w:color="auto" w:fill="FFFFFF" w:themeFill="background1"/>
        </w:rPr>
        <w:t xml:space="preserve">】 </w:t>
      </w:r>
    </w:p>
    <w:p>
      <w:pPr>
        <w:spacing w:before="156" w:beforeLines="50" w:after="156" w:afterLines="50" w:line="288" w:lineRule="auto"/>
        <w:ind w:firstLine="360" w:firstLineChars="150"/>
        <w:textAlignment w:val="center"/>
        <w:rPr>
          <w:rFonts w:ascii="黑体" w:hAnsi="宋体" w:eastAsia="黑体"/>
          <w:sz w:val="24"/>
        </w:rPr>
      </w:pPr>
      <w:r>
        <w:rPr>
          <w:rFonts w:hint="eastAsia" w:ascii="黑体" w:hAnsi="宋体" w:eastAsia="黑体"/>
          <w:sz w:val="24"/>
        </w:rPr>
        <w:t>一、基本信息</w:t>
      </w:r>
    </w:p>
    <w:p>
      <w:pPr>
        <w:snapToGrid w:val="0"/>
        <w:spacing w:line="288" w:lineRule="auto"/>
        <w:ind w:firstLine="413" w:firstLineChars="196"/>
        <w:textAlignment w:val="center"/>
        <w:rPr>
          <w:rFonts w:asciiTheme="minorEastAsia" w:hAnsiTheme="minorEastAsia" w:eastAsiaTheme="minorEastAsia"/>
          <w:szCs w:val="21"/>
        </w:rPr>
      </w:pPr>
      <w:r>
        <w:rPr>
          <w:rFonts w:hint="eastAsia" w:asciiTheme="minorEastAsia" w:hAnsiTheme="minorEastAsia" w:eastAsiaTheme="minorEastAsia"/>
          <w:b/>
          <w:bCs/>
          <w:szCs w:val="21"/>
        </w:rPr>
        <w:t>课程代码：</w:t>
      </w:r>
      <w:r>
        <w:rPr>
          <w:rFonts w:hint="eastAsia" w:asciiTheme="minorEastAsia" w:hAnsiTheme="minorEastAsia" w:eastAsiaTheme="minorEastAsia"/>
          <w:szCs w:val="21"/>
        </w:rPr>
        <w:t>【</w:t>
      </w:r>
      <w:r>
        <w:rPr>
          <w:rFonts w:asciiTheme="minorEastAsia" w:hAnsiTheme="minorEastAsia" w:eastAsiaTheme="minorEastAsia"/>
          <w:szCs w:val="21"/>
        </w:rPr>
        <w:t>1130039</w:t>
      </w:r>
      <w:r>
        <w:rPr>
          <w:rFonts w:hint="eastAsia" w:asciiTheme="minorEastAsia" w:hAnsiTheme="minorEastAsia" w:eastAsiaTheme="minorEastAsia"/>
          <w:szCs w:val="21"/>
        </w:rPr>
        <w:t xml:space="preserve">】 </w:t>
      </w:r>
    </w:p>
    <w:p>
      <w:pPr>
        <w:snapToGrid w:val="0"/>
        <w:spacing w:line="288" w:lineRule="auto"/>
        <w:ind w:firstLine="413" w:firstLineChars="196"/>
        <w:textAlignment w:val="center"/>
        <w:rPr>
          <w:rFonts w:asciiTheme="minorEastAsia" w:hAnsiTheme="minorEastAsia" w:eastAsiaTheme="minorEastAsia"/>
          <w:szCs w:val="21"/>
        </w:rPr>
      </w:pPr>
      <w:r>
        <w:rPr>
          <w:rFonts w:hint="eastAsia" w:asciiTheme="minorEastAsia" w:hAnsiTheme="minorEastAsia" w:eastAsiaTheme="minorEastAsia"/>
          <w:b/>
          <w:bCs/>
          <w:szCs w:val="21"/>
        </w:rPr>
        <w:t>课程学分：</w:t>
      </w:r>
      <w:r>
        <w:rPr>
          <w:rFonts w:hint="eastAsia" w:asciiTheme="minorEastAsia" w:hAnsiTheme="minorEastAsia" w:eastAsiaTheme="minorEastAsia"/>
          <w:szCs w:val="21"/>
        </w:rPr>
        <w:t>【2】</w:t>
      </w:r>
    </w:p>
    <w:p>
      <w:pPr>
        <w:snapToGrid w:val="0"/>
        <w:spacing w:line="288" w:lineRule="auto"/>
        <w:ind w:firstLine="413" w:firstLineChars="196"/>
        <w:textAlignment w:val="center"/>
        <w:rPr>
          <w:rFonts w:asciiTheme="minorEastAsia" w:hAnsiTheme="minorEastAsia" w:eastAsiaTheme="minorEastAsia"/>
          <w:szCs w:val="21"/>
        </w:rPr>
      </w:pPr>
      <w:r>
        <w:rPr>
          <w:rFonts w:hint="eastAsia" w:asciiTheme="minorEastAsia" w:hAnsiTheme="minorEastAsia" w:eastAsiaTheme="minorEastAsia"/>
          <w:b/>
          <w:bCs/>
          <w:szCs w:val="21"/>
        </w:rPr>
        <w:t>面向专业：</w:t>
      </w:r>
      <w:r>
        <w:rPr>
          <w:rFonts w:hint="eastAsia" w:asciiTheme="minorEastAsia" w:hAnsiTheme="minorEastAsia" w:eastAsiaTheme="minorEastAsia"/>
          <w:szCs w:val="21"/>
        </w:rPr>
        <w:t>【计科、软件工程 专升本】</w:t>
      </w:r>
    </w:p>
    <w:p>
      <w:pPr>
        <w:snapToGrid w:val="0"/>
        <w:spacing w:line="288" w:lineRule="auto"/>
        <w:ind w:firstLine="413" w:firstLineChars="196"/>
        <w:textAlignment w:val="center"/>
        <w:rPr>
          <w:rFonts w:asciiTheme="minorEastAsia" w:hAnsiTheme="minorEastAsia" w:eastAsiaTheme="minorEastAsia"/>
          <w:szCs w:val="21"/>
        </w:rPr>
      </w:pPr>
      <w:r>
        <w:rPr>
          <w:rFonts w:hint="eastAsia" w:asciiTheme="minorEastAsia" w:hAnsiTheme="minorEastAsia" w:eastAsiaTheme="minorEastAsia"/>
          <w:b/>
          <w:bCs/>
          <w:szCs w:val="21"/>
        </w:rPr>
        <w:t>课程性质：</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公共基础</w:t>
      </w:r>
      <w:bookmarkStart w:id="0" w:name="_GoBack"/>
      <w:bookmarkEnd w:id="0"/>
      <w:r>
        <w:rPr>
          <w:rFonts w:hint="eastAsia" w:asciiTheme="minorEastAsia" w:hAnsiTheme="minorEastAsia" w:eastAsiaTheme="minorEastAsia"/>
          <w:szCs w:val="21"/>
        </w:rPr>
        <w:t>课】</w:t>
      </w:r>
    </w:p>
    <w:p>
      <w:pPr>
        <w:snapToGrid w:val="0"/>
        <w:spacing w:line="288" w:lineRule="auto"/>
        <w:ind w:firstLine="413" w:firstLineChars="196"/>
        <w:textAlignment w:val="center"/>
        <w:rPr>
          <w:rFonts w:asciiTheme="minorEastAsia" w:hAnsiTheme="minorEastAsia" w:eastAsiaTheme="minorEastAsia"/>
          <w:b/>
          <w:bCs/>
          <w:szCs w:val="21"/>
        </w:rPr>
      </w:pPr>
      <w:r>
        <w:rPr>
          <w:rFonts w:hint="eastAsia" w:asciiTheme="minorEastAsia" w:hAnsiTheme="minorEastAsia" w:eastAsiaTheme="minorEastAsia"/>
          <w:b/>
          <w:bCs/>
          <w:szCs w:val="21"/>
        </w:rPr>
        <w:t>开课院系：</w:t>
      </w:r>
      <w:r>
        <w:rPr>
          <w:rFonts w:hint="eastAsia" w:asciiTheme="minorEastAsia" w:hAnsiTheme="minorEastAsia" w:eastAsiaTheme="minorEastAsia"/>
          <w:szCs w:val="21"/>
        </w:rPr>
        <w:t>教育学院</w:t>
      </w:r>
    </w:p>
    <w:p>
      <w:pPr>
        <w:snapToGrid w:val="0"/>
        <w:spacing w:line="288" w:lineRule="auto"/>
        <w:ind w:firstLine="413" w:firstLineChars="196"/>
        <w:textAlignment w:val="center"/>
        <w:rPr>
          <w:rFonts w:asciiTheme="minorEastAsia" w:hAnsiTheme="minorEastAsia" w:eastAsiaTheme="minorEastAsia"/>
          <w:b/>
          <w:bCs/>
          <w:szCs w:val="21"/>
        </w:rPr>
      </w:pPr>
      <w:r>
        <w:rPr>
          <w:rFonts w:hint="eastAsia" w:asciiTheme="minorEastAsia" w:hAnsiTheme="minorEastAsia" w:eastAsiaTheme="minorEastAsia"/>
          <w:b/>
          <w:bCs/>
          <w:szCs w:val="21"/>
        </w:rPr>
        <w:t>使用教材：</w:t>
      </w:r>
    </w:p>
    <w:p>
      <w:pPr>
        <w:snapToGrid w:val="0"/>
        <w:spacing w:line="288" w:lineRule="auto"/>
        <w:ind w:firstLine="1470" w:firstLineChars="700"/>
        <w:textAlignment w:val="center"/>
        <w:rPr>
          <w:rFonts w:asciiTheme="minorEastAsia" w:hAnsiTheme="minorEastAsia" w:eastAsiaTheme="minorEastAsia"/>
          <w:szCs w:val="21"/>
        </w:rPr>
      </w:pPr>
      <w:r>
        <w:rPr>
          <w:rFonts w:hint="eastAsia" w:asciiTheme="minorEastAsia" w:hAnsiTheme="minorEastAsia" w:eastAsiaTheme="minorEastAsia"/>
          <w:szCs w:val="21"/>
        </w:rPr>
        <w:t>【线性代数  同济大学应用数学系编  高等教育出版社 第七版】</w:t>
      </w:r>
    </w:p>
    <w:p>
      <w:pPr>
        <w:snapToGrid w:val="0"/>
        <w:spacing w:line="288" w:lineRule="auto"/>
        <w:ind w:left="1470" w:leftChars="700"/>
        <w:textAlignment w:val="center"/>
        <w:rPr>
          <w:rFonts w:asciiTheme="minorEastAsia" w:hAnsiTheme="minorEastAsia" w:eastAsiaTheme="minorEastAsia"/>
          <w:szCs w:val="21"/>
        </w:rPr>
      </w:pPr>
      <w:r>
        <w:rPr>
          <w:rFonts w:hint="eastAsia" w:asciiTheme="minorEastAsia" w:hAnsiTheme="minorEastAsia" w:eastAsiaTheme="minorEastAsia"/>
          <w:szCs w:val="21"/>
        </w:rPr>
        <w:t>【线性代数学习辅导与习题全解 （第七版） 同济大学应用数学系编</w:t>
      </w:r>
    </w:p>
    <w:p>
      <w:pPr>
        <w:snapToGrid w:val="0"/>
        <w:spacing w:line="288" w:lineRule="auto"/>
        <w:ind w:left="1470" w:leftChars="700"/>
        <w:textAlignment w:val="center"/>
        <w:rPr>
          <w:rFonts w:asciiTheme="minorEastAsia" w:hAnsiTheme="minorEastAsia" w:eastAsiaTheme="minorEastAsia"/>
          <w:szCs w:val="21"/>
        </w:rPr>
      </w:pPr>
      <w:r>
        <w:rPr>
          <w:rFonts w:hint="eastAsia" w:asciiTheme="minorEastAsia" w:hAnsiTheme="minorEastAsia" w:eastAsiaTheme="minorEastAsia"/>
          <w:szCs w:val="21"/>
        </w:rPr>
        <w:t xml:space="preserve"> 高等教育出版社】</w:t>
      </w:r>
    </w:p>
    <w:p>
      <w:pPr>
        <w:snapToGrid w:val="0"/>
        <w:spacing w:line="288" w:lineRule="auto"/>
        <w:ind w:firstLine="1260" w:firstLineChars="600"/>
        <w:textAlignment w:val="center"/>
        <w:rPr>
          <w:rFonts w:asciiTheme="minorEastAsia" w:hAnsiTheme="minorEastAsia" w:eastAsiaTheme="minorEastAsia"/>
          <w:szCs w:val="21"/>
        </w:rPr>
      </w:pPr>
      <w:r>
        <w:rPr>
          <w:rFonts w:hint="eastAsia" w:asciiTheme="minorEastAsia" w:hAnsiTheme="minorEastAsia" w:eastAsiaTheme="minorEastAsia"/>
          <w:szCs w:val="21"/>
        </w:rPr>
        <w:t>参考教材 【线性代数及其应用  同济大学数学系编 高等教育出版社 第二版】</w:t>
      </w:r>
    </w:p>
    <w:p>
      <w:pPr>
        <w:autoSpaceDN w:val="0"/>
        <w:snapToGrid w:val="0"/>
        <w:spacing w:line="288" w:lineRule="auto"/>
        <w:ind w:firstLine="413" w:firstLineChars="196"/>
        <w:textAlignment w:val="center"/>
        <w:rPr>
          <w:rFonts w:asciiTheme="minorEastAsia" w:hAnsiTheme="minorEastAsia" w:eastAsiaTheme="minorEastAsia"/>
          <w:bCs/>
          <w:szCs w:val="21"/>
          <w:shd w:val="clear" w:color="auto" w:fill="FFFFFF" w:themeFill="background1"/>
        </w:rPr>
      </w:pPr>
      <w:r>
        <w:rPr>
          <w:rFonts w:hint="eastAsia" w:asciiTheme="minorEastAsia" w:hAnsiTheme="minorEastAsia" w:eastAsiaTheme="minorEastAsia"/>
          <w:b/>
          <w:bCs/>
          <w:szCs w:val="21"/>
          <w:shd w:val="clear" w:color="auto" w:fill="FFFFFF" w:themeFill="background1"/>
        </w:rPr>
        <w:t>课程网站网址：</w:t>
      </w:r>
    </w:p>
    <w:p>
      <w:pPr>
        <w:autoSpaceDN w:val="0"/>
        <w:snapToGrid w:val="0"/>
        <w:spacing w:line="288" w:lineRule="auto"/>
        <w:ind w:firstLine="411" w:firstLineChars="196"/>
        <w:textAlignment w:val="center"/>
        <w:rPr>
          <w:rFonts w:asciiTheme="minorEastAsia" w:hAnsiTheme="minorEastAsia" w:eastAsiaTheme="minorEastAsia"/>
          <w:szCs w:val="21"/>
          <w:shd w:val="clear" w:color="auto" w:fill="FFFFFF" w:themeFill="background1"/>
        </w:rPr>
      </w:pPr>
      <w:r>
        <w:rPr>
          <w:rFonts w:asciiTheme="minorEastAsia" w:hAnsiTheme="minorEastAsia" w:eastAsiaTheme="minorEastAsia"/>
          <w:szCs w:val="21"/>
          <w:shd w:val="clear" w:color="auto" w:fill="FFFFFF" w:themeFill="background1"/>
        </w:rPr>
        <w:t>https://mooc1.chaoxing.com/courseans/courseportal/223822284.html?clazzId=0</w:t>
      </w:r>
    </w:p>
    <w:p>
      <w:pPr>
        <w:autoSpaceDN w:val="0"/>
        <w:snapToGrid w:val="0"/>
        <w:spacing w:line="288" w:lineRule="auto"/>
        <w:ind w:firstLine="413" w:firstLineChars="196"/>
        <w:textAlignment w:val="center"/>
        <w:rPr>
          <w:rFonts w:asciiTheme="minorEastAsia" w:hAnsiTheme="minorEastAsia" w:eastAsiaTheme="minorEastAsia"/>
          <w:b/>
          <w:bCs/>
          <w:szCs w:val="21"/>
          <w:shd w:val="clear" w:color="auto" w:fill="FFFFFF" w:themeFill="background1"/>
        </w:rPr>
      </w:pPr>
      <w:r>
        <w:rPr>
          <w:rFonts w:hint="eastAsia" w:asciiTheme="minorEastAsia" w:hAnsiTheme="minorEastAsia" w:eastAsiaTheme="minorEastAsia"/>
          <w:b/>
          <w:bCs/>
          <w:szCs w:val="21"/>
          <w:shd w:val="clear" w:color="auto" w:fill="FFFFFF" w:themeFill="background1"/>
        </w:rPr>
        <w:t>先修课程：无</w:t>
      </w:r>
    </w:p>
    <w:p>
      <w:pPr>
        <w:spacing w:before="156" w:beforeLines="50" w:after="156" w:afterLines="50" w:line="288" w:lineRule="auto"/>
        <w:ind w:firstLine="360" w:firstLineChars="150"/>
        <w:textAlignment w:val="center"/>
        <w:rPr>
          <w:rFonts w:ascii="黑体" w:hAnsi="宋体" w:eastAsia="黑体"/>
          <w:sz w:val="24"/>
        </w:rPr>
      </w:pPr>
      <w:r>
        <w:rPr>
          <w:rFonts w:hint="eastAsia" w:ascii="黑体" w:hAnsi="宋体" w:eastAsia="黑体"/>
          <w:sz w:val="24"/>
        </w:rPr>
        <w:t>二、课程简介</w:t>
      </w:r>
    </w:p>
    <w:p>
      <w:pPr>
        <w:widowControl/>
        <w:spacing w:before="156" w:beforeLines="50" w:after="156" w:afterLines="50" w:line="288" w:lineRule="auto"/>
        <w:ind w:firstLine="315" w:firstLineChars="150"/>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本课程以线性方程组解的讨论为核心内容，介绍行列式、矩阵基本理论、向量的线性相关性及线性方程组等有关知识。通过本课程的学习，使学生掌握线性代数的基本概念、基本理论和基本方法，培养应用线性代数的基本思想和基本方法来分析和解决实际问题的能力，并为学习后续相关课程和进一步扩大数学知识面奠定必要的数学基础，尤其是能初步培养学生的数学建模能力。线性代数是19世纪后期发展起来的一个数学分支，它是管理类、理工类各专业必修的一门基础理论课程，本课程与运筹学，现代管理学，计算机，数学建模等若干课程直接相关，也是硕士研究生入学考试数学科目中的一部分，它是为培养我国社会主义现代化建设所需要的高质量专门人才服务的。本课程具有较强的逻辑性，抽象性与广泛的实用性。线性代数是一门将理论、应用和计算融合起来的完美课程。随着计算机的普遍使用以及计算机功能的迅速增强，线性代数在应用中的重要性也在不断提高。尤其在计算机日益普及的今天，解大型线性方程组等问题已经成为技术人员经常遇到的课题。因此，本课程所介绍的方法广泛应用于各个学科。</w:t>
      </w:r>
    </w:p>
    <w:p>
      <w:pPr>
        <w:spacing w:before="156" w:beforeLines="50" w:after="156" w:afterLines="50" w:line="288" w:lineRule="auto"/>
        <w:ind w:firstLine="360" w:firstLineChars="150"/>
        <w:textAlignment w:val="center"/>
        <w:rPr>
          <w:rFonts w:ascii="黑体" w:hAnsi="宋体" w:eastAsia="黑体"/>
          <w:sz w:val="24"/>
        </w:rPr>
      </w:pPr>
      <w:r>
        <w:rPr>
          <w:rFonts w:hint="eastAsia" w:ascii="黑体" w:hAnsi="宋体" w:eastAsia="黑体"/>
          <w:sz w:val="24"/>
        </w:rPr>
        <w:t>三、选课建议</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本课程适合理工类各专业及经济管理类学生在第一学年及管理类学生在第二学年的必修。</w:t>
      </w:r>
    </w:p>
    <w:p>
      <w:pPr>
        <w:snapToGrid w:val="0"/>
        <w:spacing w:line="288" w:lineRule="auto"/>
        <w:textAlignment w:val="center"/>
        <w:rPr>
          <w:rFonts w:asciiTheme="minorEastAsia" w:hAnsiTheme="minorEastAsia" w:eastAsiaTheme="minorEastAsia"/>
          <w:szCs w:val="21"/>
        </w:rPr>
      </w:pPr>
    </w:p>
    <w:p>
      <w:pPr>
        <w:widowControl/>
        <w:spacing w:before="156" w:beforeLines="50" w:after="156" w:afterLines="50" w:line="288" w:lineRule="auto"/>
        <w:ind w:firstLine="360" w:firstLineChars="150"/>
        <w:jc w:val="left"/>
        <w:textAlignment w:val="center"/>
        <w:rPr>
          <w:rFonts w:ascii="黑体" w:hAnsi="宋体" w:eastAsia="黑体"/>
          <w:sz w:val="24"/>
        </w:rPr>
      </w:pPr>
      <w:r>
        <w:rPr>
          <w:rFonts w:hint="eastAsia" w:ascii="黑体" w:hAnsi="宋体" w:eastAsia="黑体"/>
          <w:sz w:val="24"/>
        </w:rPr>
        <w:t>四、课程目标/课程预期学习成果（预期学习成果要可测量/能够证明）</w:t>
      </w:r>
    </w:p>
    <w:tbl>
      <w:tblPr>
        <w:tblStyle w:val="5"/>
        <w:tblpPr w:leftFromText="180" w:rightFromText="180" w:vertAnchor="text" w:horzAnchor="page" w:tblpX="2014" w:tblpY="152"/>
        <w:tblOverlap w:val="never"/>
        <w:tblW w:w="7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174"/>
        <w:gridCol w:w="2928"/>
        <w:gridCol w:w="173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tcPr>
          <w:p>
            <w:pPr>
              <w:snapToGrid w:val="0"/>
              <w:spacing w:line="288" w:lineRule="auto"/>
              <w:jc w:val="center"/>
              <w:textAlignment w:val="center"/>
              <w:rPr>
                <w:b/>
                <w:sz w:val="20"/>
                <w:szCs w:val="20"/>
              </w:rPr>
            </w:pPr>
            <w:r>
              <w:rPr>
                <w:rFonts w:hint="eastAsia"/>
                <w:b/>
                <w:sz w:val="20"/>
                <w:szCs w:val="20"/>
              </w:rPr>
              <w:t>序号</w:t>
            </w:r>
          </w:p>
        </w:tc>
        <w:tc>
          <w:tcPr>
            <w:tcW w:w="1174" w:type="dxa"/>
            <w:tcBorders>
              <w:top w:val="single" w:color="auto" w:sz="4" w:space="0"/>
              <w:left w:val="single" w:color="auto" w:sz="4" w:space="0"/>
              <w:bottom w:val="single" w:color="auto" w:sz="4" w:space="0"/>
              <w:right w:val="single" w:color="auto" w:sz="4" w:space="0"/>
            </w:tcBorders>
          </w:tcPr>
          <w:p>
            <w:pPr>
              <w:snapToGrid w:val="0"/>
              <w:spacing w:line="288" w:lineRule="auto"/>
              <w:jc w:val="center"/>
              <w:textAlignment w:val="center"/>
              <w:rPr>
                <w:b/>
                <w:sz w:val="20"/>
                <w:szCs w:val="20"/>
              </w:rPr>
            </w:pPr>
            <w:r>
              <w:rPr>
                <w:rFonts w:hint="eastAsia"/>
                <w:b/>
                <w:sz w:val="20"/>
                <w:szCs w:val="20"/>
              </w:rPr>
              <w:t>课程预期</w:t>
            </w:r>
          </w:p>
          <w:p>
            <w:pPr>
              <w:snapToGrid w:val="0"/>
              <w:spacing w:line="288" w:lineRule="auto"/>
              <w:jc w:val="center"/>
              <w:textAlignment w:val="center"/>
              <w:rPr>
                <w:b/>
                <w:sz w:val="20"/>
                <w:szCs w:val="20"/>
              </w:rPr>
            </w:pPr>
            <w:r>
              <w:rPr>
                <w:rFonts w:hint="eastAsia"/>
                <w:b/>
                <w:sz w:val="20"/>
                <w:szCs w:val="20"/>
              </w:rPr>
              <w:t>学习成果</w:t>
            </w:r>
          </w:p>
        </w:tc>
        <w:tc>
          <w:tcPr>
            <w:tcW w:w="292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b/>
                <w:sz w:val="20"/>
                <w:szCs w:val="20"/>
              </w:rPr>
            </w:pPr>
            <w:r>
              <w:rPr>
                <w:rFonts w:hint="eastAsia"/>
                <w:b/>
                <w:sz w:val="20"/>
                <w:szCs w:val="20"/>
              </w:rPr>
              <w:t>课程目标</w:t>
            </w:r>
          </w:p>
          <w:p>
            <w:pPr>
              <w:snapToGrid w:val="0"/>
              <w:spacing w:line="288" w:lineRule="auto"/>
              <w:jc w:val="center"/>
              <w:textAlignment w:val="center"/>
              <w:rPr>
                <w:b/>
                <w:sz w:val="20"/>
                <w:szCs w:val="20"/>
              </w:rPr>
            </w:pPr>
            <w:r>
              <w:rPr>
                <w:rFonts w:hint="eastAsia"/>
                <w:b/>
                <w:sz w:val="20"/>
                <w:szCs w:val="20"/>
              </w:rPr>
              <w:t>（细化的预期学习成果）</w:t>
            </w: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b/>
                <w:sz w:val="20"/>
                <w:szCs w:val="20"/>
              </w:rPr>
            </w:pPr>
            <w:r>
              <w:rPr>
                <w:rFonts w:hint="eastAsia"/>
                <w:b/>
                <w:sz w:val="20"/>
                <w:szCs w:val="20"/>
              </w:rPr>
              <w:t>教与学方式</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b/>
                <w:sz w:val="20"/>
                <w:szCs w:val="20"/>
              </w:rPr>
            </w:pPr>
            <w:r>
              <w:rPr>
                <w:rFonts w:hint="eastAsia"/>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eastAsia="仿宋" w:cs="宋体"/>
                <w:kern w:val="0"/>
                <w:sz w:val="24"/>
                <w:szCs w:val="24"/>
              </w:rPr>
            </w:pPr>
            <w:r>
              <w:rPr>
                <w:rFonts w:hint="eastAsia" w:ascii="仿宋" w:eastAsia="仿宋" w:cs="宋体"/>
                <w:kern w:val="0"/>
                <w:sz w:val="24"/>
                <w:szCs w:val="24"/>
              </w:rPr>
              <w:t>1</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eastAsia="仿宋" w:cs="宋体"/>
                <w:kern w:val="0"/>
                <w:sz w:val="24"/>
                <w:szCs w:val="24"/>
              </w:rPr>
            </w:pPr>
            <w:r>
              <w:rPr>
                <w:rFonts w:hint="eastAsia" w:ascii="仿宋" w:eastAsia="仿宋" w:cs="宋体"/>
                <w:kern w:val="0"/>
                <w:sz w:val="24"/>
                <w:szCs w:val="24"/>
              </w:rPr>
              <w:t>L</w:t>
            </w:r>
            <w:r>
              <w:rPr>
                <w:rFonts w:ascii="仿宋" w:eastAsia="仿宋" w:cs="宋体"/>
                <w:kern w:val="0"/>
                <w:sz w:val="24"/>
                <w:szCs w:val="24"/>
              </w:rPr>
              <w:t>0112</w:t>
            </w:r>
          </w:p>
        </w:tc>
        <w:tc>
          <w:tcPr>
            <w:tcW w:w="292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宋体" w:cs="宋体"/>
                <w:kern w:val="0"/>
                <w:sz w:val="18"/>
                <w:szCs w:val="18"/>
              </w:rPr>
            </w:pPr>
            <w:r>
              <w:rPr>
                <w:rFonts w:hint="eastAsia" w:ascii="宋体" w:cs="宋体"/>
                <w:kern w:val="0"/>
                <w:sz w:val="18"/>
                <w:szCs w:val="18"/>
              </w:rPr>
              <w:t>表达沟通。参与课堂互动，能够用书面或者口头的方式，表达自己的观点，对不同的观点在充分尊重的前提下勇于质疑和论证。</w:t>
            </w: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sz w:val="18"/>
                <w:szCs w:val="18"/>
              </w:rPr>
            </w:pPr>
            <w:r>
              <w:rPr>
                <w:rFonts w:hint="eastAsia" w:ascii="宋体"/>
                <w:sz w:val="18"/>
                <w:szCs w:val="18"/>
              </w:rPr>
              <w:t>课堂互动</w:t>
            </w:r>
          </w:p>
          <w:p>
            <w:pPr>
              <w:snapToGrid w:val="0"/>
              <w:spacing w:line="288" w:lineRule="auto"/>
              <w:jc w:val="center"/>
              <w:textAlignment w:val="center"/>
              <w:rPr>
                <w:rFonts w:ascii="宋体"/>
                <w:sz w:val="18"/>
                <w:szCs w:val="18"/>
              </w:rPr>
            </w:pPr>
            <w:r>
              <w:rPr>
                <w:rFonts w:hint="eastAsia" w:ascii="宋体"/>
                <w:sz w:val="18"/>
                <w:szCs w:val="18"/>
              </w:rPr>
              <w:t>课后讨论</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sz w:val="18"/>
                <w:szCs w:val="18"/>
              </w:rPr>
            </w:pPr>
            <w:r>
              <w:rPr>
                <w:rFonts w:hint="eastAsia" w:ascii="宋体"/>
                <w:sz w:val="18"/>
                <w:szCs w:val="18"/>
              </w:rPr>
              <w:t>平时表现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eastAsia="仿宋" w:cs="宋体"/>
                <w:kern w:val="0"/>
                <w:sz w:val="24"/>
                <w:szCs w:val="24"/>
              </w:rPr>
            </w:pPr>
            <w:r>
              <w:rPr>
                <w:rFonts w:hint="eastAsia" w:ascii="仿宋" w:eastAsia="仿宋" w:cs="宋体"/>
                <w:kern w:val="0"/>
                <w:sz w:val="24"/>
                <w:szCs w:val="24"/>
              </w:rPr>
              <w:t>2</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eastAsia="仿宋" w:cs="宋体"/>
                <w:kern w:val="0"/>
                <w:sz w:val="24"/>
                <w:szCs w:val="24"/>
              </w:rPr>
            </w:pPr>
            <w:r>
              <w:rPr>
                <w:rFonts w:hint="eastAsia" w:ascii="仿宋" w:eastAsia="仿宋" w:cs="宋体"/>
                <w:kern w:val="0"/>
                <w:sz w:val="24"/>
                <w:szCs w:val="24"/>
              </w:rPr>
              <w:t>L</w:t>
            </w:r>
            <w:r>
              <w:rPr>
                <w:rFonts w:ascii="仿宋" w:eastAsia="仿宋" w:cs="宋体"/>
                <w:kern w:val="0"/>
                <w:sz w:val="24"/>
                <w:szCs w:val="24"/>
              </w:rPr>
              <w:t>0212</w:t>
            </w:r>
          </w:p>
        </w:tc>
        <w:tc>
          <w:tcPr>
            <w:tcW w:w="292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宋体" w:cs="宋体"/>
                <w:kern w:val="0"/>
                <w:sz w:val="18"/>
                <w:szCs w:val="18"/>
              </w:rPr>
            </w:pPr>
            <w:r>
              <w:rPr>
                <w:rFonts w:hint="eastAsia" w:ascii="宋体" w:cs="宋体"/>
                <w:kern w:val="0"/>
                <w:sz w:val="18"/>
                <w:szCs w:val="18"/>
              </w:rPr>
              <w:t>自主学习。能制定学习目标并为之实施学习计划、持续改进，养成良好的学习习惯和掌握自主学习的方法。</w:t>
            </w: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textAlignment w:val="center"/>
              <w:rPr>
                <w:rFonts w:ascii="宋体"/>
                <w:sz w:val="18"/>
                <w:szCs w:val="18"/>
              </w:rPr>
            </w:pPr>
            <w:r>
              <w:rPr>
                <w:rFonts w:hint="eastAsia" w:ascii="宋体"/>
                <w:sz w:val="18"/>
                <w:szCs w:val="18"/>
              </w:rPr>
              <w:t>按时完成作业，</w:t>
            </w:r>
            <w:r>
              <w:rPr>
                <w:rFonts w:ascii="宋体"/>
                <w:sz w:val="18"/>
                <w:szCs w:val="18"/>
              </w:rPr>
              <w:t>通过阶段考试和期终考试检验学习目标的完成度</w:t>
            </w:r>
            <w:r>
              <w:rPr>
                <w:rFonts w:hint="eastAsia" w:ascii="宋体"/>
                <w:sz w:val="18"/>
                <w:szCs w:val="18"/>
              </w:rPr>
              <w:t>。</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sz w:val="18"/>
                <w:szCs w:val="18"/>
              </w:rPr>
            </w:pPr>
            <w:r>
              <w:rPr>
                <w:rFonts w:hint="eastAsia" w:ascii="宋体"/>
                <w:sz w:val="18"/>
                <w:szCs w:val="18"/>
              </w:rPr>
              <w:t>平时作业</w:t>
            </w:r>
          </w:p>
          <w:p>
            <w:pPr>
              <w:snapToGrid w:val="0"/>
              <w:spacing w:line="288" w:lineRule="auto"/>
              <w:jc w:val="center"/>
              <w:textAlignment w:val="center"/>
              <w:rPr>
                <w:rFonts w:ascii="宋体"/>
                <w:sz w:val="18"/>
                <w:szCs w:val="18"/>
              </w:rPr>
            </w:pPr>
            <w:r>
              <w:rPr>
                <w:rFonts w:ascii="宋体"/>
                <w:sz w:val="18"/>
                <w:szCs w:val="18"/>
              </w:rPr>
              <w:t>阶段考试</w:t>
            </w:r>
          </w:p>
          <w:p>
            <w:pPr>
              <w:snapToGrid w:val="0"/>
              <w:spacing w:line="288" w:lineRule="auto"/>
              <w:jc w:val="center"/>
              <w:textAlignment w:val="center"/>
              <w:rPr>
                <w:rFonts w:ascii="宋体"/>
                <w:sz w:val="18"/>
                <w:szCs w:val="18"/>
              </w:rPr>
            </w:pPr>
            <w:r>
              <w:rPr>
                <w:rFonts w:ascii="宋体"/>
                <w:sz w:val="18"/>
                <w:szCs w:val="18"/>
              </w:rPr>
              <w:t>期终考试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eastAsia="仿宋" w:cs="宋体"/>
                <w:kern w:val="0"/>
                <w:sz w:val="24"/>
                <w:szCs w:val="24"/>
              </w:rPr>
            </w:pPr>
            <w:r>
              <w:rPr>
                <w:rFonts w:hint="eastAsia" w:ascii="仿宋" w:eastAsia="仿宋" w:cs="宋体"/>
                <w:kern w:val="0"/>
                <w:sz w:val="24"/>
                <w:szCs w:val="24"/>
              </w:rPr>
              <w:t>3</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eastAsia="仿宋" w:cs="宋体"/>
                <w:kern w:val="0"/>
                <w:sz w:val="24"/>
                <w:szCs w:val="24"/>
              </w:rPr>
            </w:pPr>
            <w:r>
              <w:rPr>
                <w:rFonts w:hint="eastAsia" w:ascii="仿宋" w:eastAsia="仿宋" w:cs="宋体"/>
                <w:kern w:val="0"/>
                <w:sz w:val="24"/>
                <w:szCs w:val="24"/>
              </w:rPr>
              <w:t>L</w:t>
            </w:r>
            <w:r>
              <w:rPr>
                <w:rFonts w:ascii="仿宋" w:eastAsia="仿宋" w:cs="宋体"/>
                <w:kern w:val="0"/>
                <w:sz w:val="24"/>
                <w:szCs w:val="24"/>
              </w:rPr>
              <w:t>0712</w:t>
            </w:r>
          </w:p>
        </w:tc>
        <w:tc>
          <w:tcPr>
            <w:tcW w:w="292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宋体" w:cs="宋体"/>
                <w:kern w:val="0"/>
                <w:sz w:val="18"/>
                <w:szCs w:val="18"/>
              </w:rPr>
            </w:pPr>
            <w:r>
              <w:rPr>
                <w:rFonts w:hint="eastAsia" w:ascii="宋体" w:cs="宋体"/>
                <w:kern w:val="0"/>
                <w:sz w:val="18"/>
                <w:szCs w:val="18"/>
              </w:rPr>
              <w:t>助人为乐。在困难中结伴而行，懂得合作学习，在相互询问和探索中获得真知。</w:t>
            </w: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sz w:val="18"/>
                <w:szCs w:val="18"/>
              </w:rPr>
            </w:pPr>
            <w:r>
              <w:rPr>
                <w:rFonts w:hint="eastAsia" w:ascii="宋体"/>
                <w:sz w:val="18"/>
                <w:szCs w:val="18"/>
              </w:rPr>
              <w:t>课堂互动</w:t>
            </w:r>
          </w:p>
          <w:p>
            <w:pPr>
              <w:snapToGrid w:val="0"/>
              <w:spacing w:line="288" w:lineRule="auto"/>
              <w:ind w:firstLine="360" w:firstLineChars="200"/>
              <w:textAlignment w:val="center"/>
              <w:rPr>
                <w:rFonts w:ascii="宋体"/>
                <w:sz w:val="18"/>
                <w:szCs w:val="18"/>
              </w:rPr>
            </w:pPr>
            <w:r>
              <w:rPr>
                <w:rFonts w:hint="eastAsia" w:ascii="宋体"/>
                <w:sz w:val="18"/>
                <w:szCs w:val="18"/>
              </w:rPr>
              <w:t>课后讨论</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sz w:val="18"/>
                <w:szCs w:val="18"/>
              </w:rPr>
            </w:pPr>
            <w:r>
              <w:rPr>
                <w:rFonts w:hint="eastAsia" w:ascii="宋体"/>
                <w:sz w:val="18"/>
                <w:szCs w:val="18"/>
              </w:rPr>
              <w:t>平时表现</w:t>
            </w:r>
          </w:p>
          <w:p>
            <w:pPr>
              <w:snapToGrid w:val="0"/>
              <w:spacing w:line="288" w:lineRule="auto"/>
              <w:jc w:val="center"/>
              <w:textAlignment w:val="center"/>
              <w:rPr>
                <w:rFonts w:ascii="宋体"/>
                <w:sz w:val="18"/>
                <w:szCs w:val="18"/>
              </w:rPr>
            </w:pPr>
            <w:r>
              <w:rPr>
                <w:rFonts w:hint="eastAsia" w:ascii="宋体"/>
                <w:sz w:val="18"/>
                <w:szCs w:val="18"/>
              </w:rPr>
              <w:t>平时作业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eastAsia="仿宋" w:cs="宋体"/>
                <w:kern w:val="0"/>
                <w:sz w:val="24"/>
                <w:szCs w:val="24"/>
              </w:rPr>
            </w:pPr>
            <w:r>
              <w:rPr>
                <w:rFonts w:hint="eastAsia" w:ascii="仿宋" w:eastAsia="仿宋" w:cs="宋体"/>
                <w:kern w:val="0"/>
                <w:sz w:val="24"/>
                <w:szCs w:val="24"/>
              </w:rPr>
              <w:t>4</w:t>
            </w:r>
          </w:p>
        </w:tc>
        <w:tc>
          <w:tcPr>
            <w:tcW w:w="117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eastAsia="仿宋" w:cs="宋体"/>
                <w:kern w:val="0"/>
                <w:sz w:val="24"/>
                <w:szCs w:val="24"/>
              </w:rPr>
            </w:pPr>
            <w:r>
              <w:rPr>
                <w:rFonts w:hint="eastAsia" w:ascii="仿宋" w:eastAsia="仿宋" w:cs="宋体"/>
                <w:kern w:val="0"/>
                <w:sz w:val="24"/>
                <w:szCs w:val="24"/>
              </w:rPr>
              <w:t>L</w:t>
            </w:r>
            <w:r>
              <w:rPr>
                <w:rFonts w:ascii="仿宋" w:eastAsia="仿宋" w:cs="宋体"/>
                <w:kern w:val="0"/>
                <w:sz w:val="24"/>
                <w:szCs w:val="24"/>
              </w:rPr>
              <w:t>0412</w:t>
            </w:r>
          </w:p>
        </w:tc>
        <w:tc>
          <w:tcPr>
            <w:tcW w:w="2928"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宋体" w:cs="宋体"/>
                <w:kern w:val="0"/>
                <w:sz w:val="18"/>
                <w:szCs w:val="18"/>
              </w:rPr>
            </w:pPr>
            <w:r>
              <w:rPr>
                <w:rFonts w:hint="eastAsia" w:ascii="宋体" w:cs="宋体"/>
                <w:kern w:val="0"/>
                <w:sz w:val="18"/>
                <w:szCs w:val="18"/>
              </w:rPr>
              <w:t>诚实守信。勇于查找自身存在的问题，用从课程中学到的方法分析和解决问题。</w:t>
            </w:r>
          </w:p>
        </w:tc>
        <w:tc>
          <w:tcPr>
            <w:tcW w:w="173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left="210" w:leftChars="100" w:firstLine="180" w:firstLineChars="100"/>
              <w:textAlignment w:val="center"/>
              <w:rPr>
                <w:rFonts w:ascii="宋体"/>
                <w:sz w:val="18"/>
                <w:szCs w:val="18"/>
              </w:rPr>
            </w:pPr>
            <w:r>
              <w:rPr>
                <w:rFonts w:hint="eastAsia" w:ascii="宋体"/>
                <w:sz w:val="18"/>
                <w:szCs w:val="18"/>
              </w:rPr>
              <w:t>诚信教育</w:t>
            </w:r>
          </w:p>
          <w:p>
            <w:pPr>
              <w:snapToGrid w:val="0"/>
              <w:spacing w:line="288" w:lineRule="auto"/>
              <w:ind w:left="210" w:leftChars="100" w:firstLine="180" w:firstLineChars="100"/>
              <w:textAlignment w:val="center"/>
              <w:rPr>
                <w:rFonts w:ascii="宋体"/>
                <w:sz w:val="18"/>
                <w:szCs w:val="18"/>
              </w:rPr>
            </w:pPr>
            <w:r>
              <w:rPr>
                <w:rFonts w:hint="eastAsia" w:ascii="宋体"/>
                <w:sz w:val="18"/>
                <w:szCs w:val="18"/>
              </w:rPr>
              <w:t xml:space="preserve"> 复习课</w:t>
            </w:r>
          </w:p>
          <w:p>
            <w:pPr>
              <w:snapToGrid w:val="0"/>
              <w:spacing w:line="288" w:lineRule="auto"/>
              <w:ind w:firstLine="360" w:firstLineChars="200"/>
              <w:textAlignment w:val="center"/>
              <w:rPr>
                <w:rFonts w:ascii="宋体"/>
                <w:sz w:val="18"/>
                <w:szCs w:val="18"/>
              </w:rPr>
            </w:pPr>
            <w:r>
              <w:rPr>
                <w:rFonts w:hint="eastAsia" w:ascii="宋体"/>
                <w:sz w:val="18"/>
                <w:szCs w:val="18"/>
              </w:rPr>
              <w:t>总结和反思</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textAlignment w:val="center"/>
              <w:rPr>
                <w:rFonts w:ascii="宋体"/>
                <w:sz w:val="18"/>
                <w:szCs w:val="18"/>
              </w:rPr>
            </w:pPr>
            <w:r>
              <w:rPr>
                <w:rFonts w:hint="eastAsia" w:ascii="宋体"/>
                <w:sz w:val="18"/>
                <w:szCs w:val="18"/>
              </w:rPr>
              <w:t xml:space="preserve">平时作业 </w:t>
            </w:r>
            <w:r>
              <w:rPr>
                <w:rFonts w:ascii="宋体"/>
                <w:sz w:val="18"/>
                <w:szCs w:val="18"/>
              </w:rPr>
              <w:t xml:space="preserve"> 阶段考试</w:t>
            </w:r>
          </w:p>
          <w:p>
            <w:pPr>
              <w:snapToGrid w:val="0"/>
              <w:spacing w:line="288" w:lineRule="auto"/>
              <w:jc w:val="center"/>
              <w:textAlignment w:val="center"/>
              <w:rPr>
                <w:rFonts w:ascii="宋体"/>
                <w:sz w:val="18"/>
                <w:szCs w:val="18"/>
              </w:rPr>
            </w:pPr>
            <w:r>
              <w:rPr>
                <w:rFonts w:ascii="宋体"/>
                <w:sz w:val="18"/>
                <w:szCs w:val="18"/>
              </w:rPr>
              <w:t>期终考试</w:t>
            </w:r>
          </w:p>
        </w:tc>
      </w:tr>
    </w:tbl>
    <w:p>
      <w:pPr>
        <w:snapToGrid w:val="0"/>
        <w:spacing w:line="288" w:lineRule="auto"/>
        <w:textAlignment w:val="center"/>
        <w:rPr>
          <w:rFonts w:asciiTheme="minorEastAsia" w:hAnsiTheme="minorEastAsia" w:eastAsiaTheme="minorEastAsia"/>
          <w:szCs w:val="21"/>
        </w:rPr>
      </w:pPr>
    </w:p>
    <w:p>
      <w:pPr>
        <w:widowControl/>
        <w:spacing w:before="156" w:beforeLines="50" w:after="156" w:afterLines="50" w:line="288" w:lineRule="auto"/>
        <w:ind w:firstLine="360" w:firstLineChars="150"/>
        <w:jc w:val="left"/>
        <w:textAlignment w:val="center"/>
        <w:rPr>
          <w:rFonts w:ascii="黑体" w:hAnsi="宋体" w:eastAsia="黑体"/>
          <w:sz w:val="24"/>
        </w:rPr>
      </w:pPr>
      <w:r>
        <w:rPr>
          <w:rFonts w:hint="eastAsia" w:ascii="黑体" w:hAnsi="宋体" w:eastAsia="黑体"/>
          <w:sz w:val="24"/>
        </w:rPr>
        <w:t>五、课程内容</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第一章 行列式</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教学知识点</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二阶与三阶行列式  n阶行列式的定义 行列式的性质 行列式按行（列）展开。</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教学能力要求</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（1）理解二阶、三阶行列式的概念，掌握二阶与三阶行列式的计算，了解 n阶行列式的概念。</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（2）了解行列式的性质，掌握用行列式的性质计算行列式。</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（3）了解行列式的展开，掌握用行列式按行展开的法则计算行列式。</w:t>
      </w:r>
    </w:p>
    <w:p>
      <w:pPr>
        <w:snapToGrid w:val="0"/>
        <w:spacing w:line="288" w:lineRule="auto"/>
        <w:ind w:firstLine="420" w:firstLineChars="200"/>
        <w:textAlignment w:val="center"/>
        <w:rPr>
          <w:rFonts w:asciiTheme="minorEastAsia" w:hAnsiTheme="minorEastAsia" w:eastAsiaTheme="minorEastAsia"/>
          <w:szCs w:val="21"/>
        </w:rPr>
      </w:pP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第二章 矩阵及其运算</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教学知识点</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矩阵的概念 矩阵的运算 逆矩阵 矩阵分块法</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教学能力要求</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（1）理解矩阵的概念，掌握矩阵的运算法则。</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（2）理解逆矩阵的概念，掌握逆矩阵的运算规则，会用两个基本公式：</w:t>
      </w:r>
      <w:r>
        <w:rPr>
          <w:rFonts w:hint="eastAsia" w:asciiTheme="minorEastAsia" w:hAnsiTheme="minorEastAsia" w:eastAsiaTheme="minorEastAsia"/>
          <w:szCs w:val="21"/>
        </w:rPr>
        <w:object>
          <v:shape id="_x0000_i1025" o:spt="75" type="#_x0000_t75" style="height:20.75pt;width:58.2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hint="eastAsia" w:asciiTheme="minorEastAsia" w:hAnsiTheme="minorEastAsia" w:eastAsiaTheme="minorEastAsia"/>
          <w:szCs w:val="21"/>
        </w:rPr>
        <w:t>，</w:t>
      </w:r>
      <w:r>
        <w:rPr>
          <w:rFonts w:hint="eastAsia" w:asciiTheme="minorEastAsia" w:hAnsiTheme="minorEastAsia" w:eastAsiaTheme="minorEastAsia"/>
          <w:szCs w:val="21"/>
        </w:rPr>
        <w:object>
          <v:shape id="_x0000_i1026" o:spt="75" type="#_x0000_t75" style="height:23.05pt;width:54.7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hint="eastAsia" w:asciiTheme="minorEastAsia" w:hAnsiTheme="minorEastAsia" w:eastAsiaTheme="minorEastAsia"/>
          <w:szCs w:val="21"/>
        </w:rPr>
        <w:t>，会用伴随矩阵求二阶和三阶矩阵的逆矩阵。</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（3）了解克拉默法则，会用克拉默法解简单的线性方程组。</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（4）理解分块矩阵的概念，掌握分块矩阵的运算规则。</w:t>
      </w:r>
    </w:p>
    <w:p>
      <w:pPr>
        <w:snapToGrid w:val="0"/>
        <w:spacing w:line="288" w:lineRule="auto"/>
        <w:textAlignment w:val="center"/>
        <w:rPr>
          <w:rFonts w:asciiTheme="minorEastAsia" w:hAnsiTheme="minorEastAsia" w:eastAsiaTheme="minorEastAsia"/>
          <w:szCs w:val="21"/>
        </w:rPr>
      </w:pP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第三章 矩阵的初等变换与线性方程组</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教学知识点</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矩阵的初等变换 矩阵的秩 线性方程组的解。</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教学能力要求</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（1）理解矩阵的初等变换，掌握矩阵的初等变换运算。</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（2）理解矩阵的秩的概念，掌握矩阵秩的性质。</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（3）掌握用初等变换求矩阵的秩、求逆矩阵、求解线性方程组。</w:t>
      </w:r>
    </w:p>
    <w:p>
      <w:pPr>
        <w:snapToGrid w:val="0"/>
        <w:spacing w:line="288" w:lineRule="auto"/>
        <w:ind w:firstLine="420" w:firstLineChars="200"/>
        <w:textAlignment w:val="center"/>
        <w:rPr>
          <w:rFonts w:asciiTheme="minorEastAsia" w:hAnsiTheme="minorEastAsia" w:eastAsiaTheme="minorEastAsia"/>
          <w:szCs w:val="21"/>
        </w:rPr>
      </w:pP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第四章 向量组的线性相关性</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教学知识点</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 xml:space="preserve">向量组及其线性组合 向量组的线性相关性 向量组的秩 线性方程组的解的结构 </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教学能力要求</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（1）理解向量组的线性相关性、最大无关组、秩的概念，掌握判定向量组线性相关性的方法。</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（2）会用初等变换法求向量组的最大无关组与向量组的秩。</w:t>
      </w:r>
    </w:p>
    <w:p>
      <w:pPr>
        <w:snapToGrid w:val="0"/>
        <w:spacing w:line="288" w:lineRule="auto"/>
        <w:ind w:firstLine="420" w:firstLineChars="200"/>
        <w:textAlignment w:val="center"/>
        <w:rPr>
          <w:rFonts w:asciiTheme="minorEastAsia" w:hAnsiTheme="minorEastAsia" w:eastAsiaTheme="minorEastAsia"/>
          <w:szCs w:val="21"/>
        </w:rPr>
      </w:pPr>
      <w:r>
        <w:rPr>
          <w:rFonts w:hint="eastAsia" w:asciiTheme="minorEastAsia" w:hAnsiTheme="minorEastAsia" w:eastAsiaTheme="minorEastAsia"/>
          <w:szCs w:val="21"/>
        </w:rPr>
        <w:t>（3）了解线性方程组的解的结构。</w:t>
      </w:r>
    </w:p>
    <w:p>
      <w:pPr>
        <w:snapToGrid w:val="0"/>
        <w:spacing w:line="288" w:lineRule="auto"/>
        <w:ind w:firstLine="420" w:firstLineChars="200"/>
        <w:textAlignment w:val="center"/>
        <w:rPr>
          <w:rFonts w:asciiTheme="minorEastAsia" w:hAnsiTheme="minorEastAsia" w:eastAsiaTheme="minorEastAsia"/>
          <w:szCs w:val="21"/>
        </w:rPr>
      </w:pPr>
    </w:p>
    <w:p>
      <w:pPr>
        <w:snapToGrid w:val="0"/>
        <w:spacing w:line="288" w:lineRule="auto"/>
        <w:ind w:firstLine="480" w:firstLineChars="200"/>
        <w:textAlignment w:val="center"/>
        <w:rPr>
          <w:rFonts w:ascii="黑体" w:hAnsi="宋体" w:eastAsia="黑体"/>
          <w:sz w:val="24"/>
        </w:rPr>
      </w:pPr>
      <w:r>
        <w:rPr>
          <w:rFonts w:hint="eastAsia" w:ascii="黑体" w:hAnsi="宋体" w:eastAsia="黑体"/>
          <w:sz w:val="24"/>
        </w:rPr>
        <w:t>六、评价方式与成绩</w:t>
      </w:r>
    </w:p>
    <w:tbl>
      <w:tblPr>
        <w:tblStyle w:val="5"/>
        <w:tblpPr w:leftFromText="180" w:rightFromText="180" w:vertAnchor="text" w:horzAnchor="margin" w:tblpY="279"/>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5106"/>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textAlignment w:val="center"/>
              <w:rPr>
                <w:rFonts w:asciiTheme="minorEastAsia" w:hAnsiTheme="minorEastAsia" w:eastAsiaTheme="minorEastAsia"/>
                <w:bCs/>
                <w:szCs w:val="21"/>
              </w:rPr>
            </w:pPr>
            <w:r>
              <w:rPr>
                <w:rFonts w:hint="eastAsia" w:asciiTheme="minorEastAsia" w:hAnsiTheme="minorEastAsia" w:eastAsiaTheme="minorEastAsia"/>
                <w:bCs/>
                <w:szCs w:val="21"/>
              </w:rPr>
              <w:t>总评构成（1</w:t>
            </w:r>
            <w:r>
              <w:rPr>
                <w:rFonts w:asciiTheme="minorEastAsia" w:hAnsiTheme="minorEastAsia" w:eastAsiaTheme="minorEastAsia"/>
                <w:bCs/>
                <w:szCs w:val="21"/>
              </w:rPr>
              <w:t>+</w:t>
            </w:r>
            <w:r>
              <w:rPr>
                <w:rFonts w:hint="eastAsia" w:asciiTheme="minorEastAsia" w:hAnsiTheme="minorEastAsia" w:eastAsiaTheme="minorEastAsia"/>
                <w:bCs/>
                <w:szCs w:val="21"/>
              </w:rPr>
              <w:t>X）</w:t>
            </w:r>
          </w:p>
        </w:tc>
        <w:tc>
          <w:tcPr>
            <w:tcW w:w="510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评价方式</w:t>
            </w:r>
          </w:p>
        </w:tc>
        <w:tc>
          <w:tcPr>
            <w:tcW w:w="18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1</w:t>
            </w:r>
          </w:p>
        </w:tc>
        <w:tc>
          <w:tcPr>
            <w:tcW w:w="510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期终考试（闭卷）</w:t>
            </w:r>
          </w:p>
        </w:tc>
        <w:tc>
          <w:tcPr>
            <w:tcW w:w="18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X1</w:t>
            </w:r>
          </w:p>
        </w:tc>
        <w:tc>
          <w:tcPr>
            <w:tcW w:w="510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 xml:space="preserve">阶段测验 </w:t>
            </w:r>
            <w:r>
              <w:rPr>
                <w:rFonts w:hint="eastAsia" w:asciiTheme="minorEastAsia" w:hAnsiTheme="minorEastAsia" w:eastAsiaTheme="minorEastAsia"/>
                <w:szCs w:val="21"/>
              </w:rPr>
              <w:t xml:space="preserve"> </w:t>
            </w:r>
          </w:p>
        </w:tc>
        <w:tc>
          <w:tcPr>
            <w:tcW w:w="18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8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X2</w:t>
            </w:r>
          </w:p>
        </w:tc>
        <w:tc>
          <w:tcPr>
            <w:tcW w:w="510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szCs w:val="21"/>
              </w:rPr>
              <w:t>平时作业</w:t>
            </w:r>
          </w:p>
        </w:tc>
        <w:tc>
          <w:tcPr>
            <w:tcW w:w="18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X3</w:t>
            </w:r>
          </w:p>
        </w:tc>
        <w:tc>
          <w:tcPr>
            <w:tcW w:w="510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平时表现</w:t>
            </w:r>
          </w:p>
        </w:tc>
        <w:tc>
          <w:tcPr>
            <w:tcW w:w="184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textAlignment w:val="center"/>
              <w:rPr>
                <w:rFonts w:asciiTheme="minorEastAsia" w:hAnsiTheme="minorEastAsia" w:eastAsiaTheme="minorEastAsia"/>
                <w:bCs/>
                <w:szCs w:val="21"/>
              </w:rPr>
            </w:pPr>
            <w:r>
              <w:rPr>
                <w:rFonts w:hint="eastAsia" w:asciiTheme="minorEastAsia" w:hAnsiTheme="minorEastAsia" w:eastAsiaTheme="minorEastAsia"/>
                <w:bCs/>
                <w:szCs w:val="21"/>
              </w:rPr>
              <w:t>20%</w:t>
            </w:r>
          </w:p>
        </w:tc>
      </w:tr>
    </w:tbl>
    <w:p>
      <w:pPr>
        <w:snapToGrid w:val="0"/>
        <w:spacing w:line="288" w:lineRule="auto"/>
        <w:textAlignment w:val="center"/>
        <w:rPr>
          <w:rFonts w:asciiTheme="minorEastAsia" w:hAnsiTheme="minorEastAsia" w:eastAsiaTheme="minorEastAsia"/>
          <w:szCs w:val="21"/>
        </w:rPr>
      </w:pPr>
    </w:p>
    <w:p>
      <w:pPr>
        <w:snapToGrid w:val="0"/>
        <w:spacing w:line="288" w:lineRule="auto"/>
        <w:textAlignment w:val="center"/>
        <w:rPr>
          <w:sz w:val="28"/>
          <w:szCs w:val="28"/>
        </w:rPr>
      </w:pPr>
    </w:p>
    <w:p>
      <w:pPr>
        <w:snapToGrid w:val="0"/>
        <w:spacing w:line="288" w:lineRule="auto"/>
        <w:textAlignment w:val="center"/>
        <w:rPr>
          <w:sz w:val="28"/>
          <w:szCs w:val="28"/>
        </w:rPr>
      </w:pPr>
      <w:r>
        <w:rPr>
          <w:rFonts w:hint="eastAsia"/>
          <w:sz w:val="28"/>
          <w:szCs w:val="28"/>
        </w:rPr>
        <w:t>撰写人：郭鹏</w:t>
      </w:r>
      <w:r>
        <w:rPr>
          <w:sz w:val="28"/>
          <w:szCs w:val="28"/>
        </w:rPr>
        <w:t xml:space="preserve"> </w:t>
      </w:r>
      <w:r>
        <w:rPr>
          <w:rFonts w:hint="eastAsia"/>
          <w:sz w:val="28"/>
          <w:szCs w:val="28"/>
        </w:rPr>
        <w:t xml:space="preserve"> </w:t>
      </w:r>
      <w:r>
        <w:rPr>
          <w:sz w:val="28"/>
          <w:szCs w:val="28"/>
        </w:rPr>
        <w:t xml:space="preserve">   </w:t>
      </w:r>
      <w:r>
        <w:rPr>
          <w:rFonts w:hint="eastAsia"/>
          <w:sz w:val="28"/>
          <w:szCs w:val="28"/>
        </w:rPr>
        <w:t>系主任审核签名：察可文</w:t>
      </w:r>
      <w:r>
        <w:rPr>
          <w:sz w:val="28"/>
          <w:szCs w:val="28"/>
        </w:rPr>
        <w:t xml:space="preserve">   </w:t>
      </w:r>
      <w:r>
        <w:rPr>
          <w:rFonts w:hint="eastAsia"/>
          <w:sz w:val="28"/>
          <w:szCs w:val="28"/>
        </w:rPr>
        <w:t>审核时间：2</w:t>
      </w:r>
      <w:r>
        <w:rPr>
          <w:sz w:val="28"/>
          <w:szCs w:val="28"/>
        </w:rPr>
        <w:t>023/09/1</w:t>
      </w:r>
    </w:p>
    <w:p>
      <w:pPr>
        <w:textAlignment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0ZDk0ZjVkMzBjMGJlNmRhNWUzOGY2NmRkYjlhZTcifQ=="/>
  </w:docVars>
  <w:rsids>
    <w:rsidRoot w:val="00B7651F"/>
    <w:rsid w:val="0007362F"/>
    <w:rsid w:val="0009510F"/>
    <w:rsid w:val="001123A0"/>
    <w:rsid w:val="00143967"/>
    <w:rsid w:val="001F4A01"/>
    <w:rsid w:val="00256B39"/>
    <w:rsid w:val="0026033C"/>
    <w:rsid w:val="002E3721"/>
    <w:rsid w:val="002F1A16"/>
    <w:rsid w:val="00313BBA"/>
    <w:rsid w:val="0032602E"/>
    <w:rsid w:val="003367AE"/>
    <w:rsid w:val="003F4FFD"/>
    <w:rsid w:val="004100B0"/>
    <w:rsid w:val="00470F10"/>
    <w:rsid w:val="00485E1E"/>
    <w:rsid w:val="005467DC"/>
    <w:rsid w:val="00553D03"/>
    <w:rsid w:val="005B2B6D"/>
    <w:rsid w:val="005B4B4E"/>
    <w:rsid w:val="005C3143"/>
    <w:rsid w:val="005E4014"/>
    <w:rsid w:val="00624FE1"/>
    <w:rsid w:val="0065711F"/>
    <w:rsid w:val="006D5A0B"/>
    <w:rsid w:val="007208D6"/>
    <w:rsid w:val="007954AD"/>
    <w:rsid w:val="008B397C"/>
    <w:rsid w:val="008B47F4"/>
    <w:rsid w:val="008E12C6"/>
    <w:rsid w:val="00900019"/>
    <w:rsid w:val="00926623"/>
    <w:rsid w:val="0099063E"/>
    <w:rsid w:val="009F63C3"/>
    <w:rsid w:val="00A355FC"/>
    <w:rsid w:val="00B511A5"/>
    <w:rsid w:val="00B7651F"/>
    <w:rsid w:val="00C30626"/>
    <w:rsid w:val="00C56E09"/>
    <w:rsid w:val="00C721FD"/>
    <w:rsid w:val="00CE2B3B"/>
    <w:rsid w:val="00D8549D"/>
    <w:rsid w:val="00D95A7F"/>
    <w:rsid w:val="00E16D30"/>
    <w:rsid w:val="00E33169"/>
    <w:rsid w:val="00E70904"/>
    <w:rsid w:val="00EA79BB"/>
    <w:rsid w:val="00EE1EFB"/>
    <w:rsid w:val="00EE2108"/>
    <w:rsid w:val="00EF44B1"/>
    <w:rsid w:val="00F11EF6"/>
    <w:rsid w:val="00F35AA0"/>
    <w:rsid w:val="00F923B5"/>
    <w:rsid w:val="00FE6815"/>
    <w:rsid w:val="00FF2C61"/>
    <w:rsid w:val="00FF454B"/>
    <w:rsid w:val="024B0C39"/>
    <w:rsid w:val="06CD4C74"/>
    <w:rsid w:val="07683D1D"/>
    <w:rsid w:val="07910517"/>
    <w:rsid w:val="089608E6"/>
    <w:rsid w:val="0D370C75"/>
    <w:rsid w:val="11376F42"/>
    <w:rsid w:val="1252010C"/>
    <w:rsid w:val="13997C88"/>
    <w:rsid w:val="16BB53BA"/>
    <w:rsid w:val="170C74B4"/>
    <w:rsid w:val="1B6470FE"/>
    <w:rsid w:val="2327110B"/>
    <w:rsid w:val="24192CCC"/>
    <w:rsid w:val="24935A77"/>
    <w:rsid w:val="29603850"/>
    <w:rsid w:val="2C301A17"/>
    <w:rsid w:val="2D54567D"/>
    <w:rsid w:val="32634F4C"/>
    <w:rsid w:val="339B7874"/>
    <w:rsid w:val="34DA7405"/>
    <w:rsid w:val="370E6989"/>
    <w:rsid w:val="38C57790"/>
    <w:rsid w:val="39CA4B35"/>
    <w:rsid w:val="3CD52CE1"/>
    <w:rsid w:val="3D3C55B6"/>
    <w:rsid w:val="41736F2E"/>
    <w:rsid w:val="4C653F3E"/>
    <w:rsid w:val="4D1156A2"/>
    <w:rsid w:val="507833C7"/>
    <w:rsid w:val="54875D3D"/>
    <w:rsid w:val="599B0DAE"/>
    <w:rsid w:val="5C607C95"/>
    <w:rsid w:val="5D825742"/>
    <w:rsid w:val="5EEC5FAB"/>
    <w:rsid w:val="63333E75"/>
    <w:rsid w:val="66BA4938"/>
    <w:rsid w:val="6A735F93"/>
    <w:rsid w:val="6EC86481"/>
    <w:rsid w:val="6F5042C2"/>
    <w:rsid w:val="702A0B29"/>
    <w:rsid w:val="72B333C6"/>
    <w:rsid w:val="773E764D"/>
    <w:rsid w:val="794A60D6"/>
    <w:rsid w:val="796D0776"/>
    <w:rsid w:val="7B3404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304</Words>
  <Characters>1734</Characters>
  <Lines>14</Lines>
  <Paragraphs>4</Paragraphs>
  <TotalTime>11</TotalTime>
  <ScaleCrop>false</ScaleCrop>
  <LinksUpToDate>false</LinksUpToDate>
  <CharactersWithSpaces>2034</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2023-02-17T07:09:00Z</dcterms:created>
  <dc:creator>juvg</dc:creator>
  <cp:lastModifiedBy>归去来兮</cp:lastModifiedBy>
  <dcterms:modified xsi:type="dcterms:W3CDTF">2023-09-19T14:59:50Z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KSORubyTemplateID" linkTarget="0">
    <vt:lpwstr>6</vt:lpwstr>
  </property>
  <property fmtid="{D5CDD505-2E9C-101B-9397-08002B2CF9AE}" pid="4" name="ICV">
    <vt:lpwstr>5763F8E2257F4EF3A0E82F2C2E035938_13</vt:lpwstr>
  </property>
</Properties>
</file>