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智慧对对碰2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【Wisdome meets, when wisdome meets</w:t>
      </w:r>
      <w:r>
        <w:rPr>
          <w:rFonts w:hint="eastAsia"/>
          <w:b/>
          <w:sz w:val="28"/>
          <w:szCs w:val="30"/>
          <w:lang w:val="en-US" w:eastAsia="zh-CN"/>
        </w:rPr>
        <w:t xml:space="preserve"> 2</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2130052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系级</w:t>
      </w:r>
      <w:r>
        <w:rPr>
          <w:rFonts w:hint="eastAsia"/>
          <w:color w:val="000000"/>
          <w:sz w:val="20"/>
          <w:szCs w:val="20"/>
        </w:rPr>
        <w:t>必修课</w:t>
      </w:r>
      <w:r>
        <w:rPr>
          <w:rFonts w:hint="eastAsia" w:ascii="宋体" w:hAnsi="宋体"/>
          <w:color w:val="000000"/>
          <w:sz w:val="20"/>
          <w:szCs w:val="20"/>
          <w:highlight w:val="none"/>
        </w:rPr>
        <w:t>◎</w:t>
      </w:r>
      <w:r>
        <w:rPr>
          <w:color w:val="000000"/>
          <w:sz w:val="20"/>
          <w:szCs w:val="20"/>
        </w:rPr>
        <w:t>】</w:t>
      </w:r>
    </w:p>
    <w:p>
      <w:pPr>
        <w:snapToGrid w:val="0"/>
        <w:spacing w:line="288" w:lineRule="auto"/>
        <w:ind w:firstLine="394" w:firstLineChars="196"/>
        <w:rPr>
          <w:rFonts w:hint="eastAsia"/>
          <w:b/>
          <w:bCs/>
          <w:color w:val="000000"/>
          <w:sz w:val="20"/>
          <w:szCs w:val="20"/>
          <w:lang w:val="en-US" w:eastAsia="zh-CN"/>
        </w:rPr>
      </w:pPr>
      <w:r>
        <w:rPr>
          <w:b/>
          <w:bCs/>
          <w:color w:val="000000"/>
          <w:sz w:val="20"/>
          <w:szCs w:val="20"/>
        </w:rPr>
        <w:t>开课院系：</w:t>
      </w:r>
      <w:r>
        <w:rPr>
          <w:rFonts w:hint="eastAsia"/>
          <w:b/>
          <w:bCs/>
          <w:color w:val="000000"/>
          <w:sz w:val="20"/>
          <w:szCs w:val="20"/>
          <w:lang w:val="en-US" w:eastAsia="zh-CN"/>
        </w:rPr>
        <w:t>教育学院</w:t>
      </w:r>
    </w:p>
    <w:p>
      <w:pPr>
        <w:snapToGrid w:val="0"/>
        <w:spacing w:line="288" w:lineRule="auto"/>
        <w:ind w:left="801" w:leftChars="190" w:hanging="402" w:hangingChars="200"/>
        <w:rPr>
          <w:rFonts w:hint="eastAsia"/>
          <w:color w:val="000000"/>
          <w:sz w:val="20"/>
          <w:szCs w:val="20"/>
          <w:highlight w:val="none"/>
          <w:lang w:val="en-US" w:eastAsia="zh-CN"/>
        </w:rPr>
      </w:pPr>
      <w:r>
        <w:rPr>
          <w:b/>
          <w:bCs/>
          <w:color w:val="000000"/>
          <w:sz w:val="20"/>
          <w:szCs w:val="20"/>
        </w:rPr>
        <w:t>使用教材：</w:t>
      </w: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lang w:val="en-US" w:eastAsia="zh-CN"/>
        </w:rPr>
        <w:t>1.书名：学前教育学，作者：钱雨，出版社：上海交通大学出版社，版本信息：2018-06-01（出版时间），版次：第1版，书号（ISBN）：9787313194756；</w:t>
      </w:r>
    </w:p>
    <w:p>
      <w:pPr>
        <w:numPr>
          <w:ilvl w:val="0"/>
          <w:numId w:val="1"/>
        </w:numPr>
        <w:snapToGrid w:val="0"/>
        <w:spacing w:line="288" w:lineRule="auto"/>
        <w:ind w:left="718" w:leftChars="342" w:firstLine="100" w:firstLineChars="50"/>
        <w:rPr>
          <w:color w:val="000000"/>
          <w:szCs w:val="21"/>
          <w:highlight w:val="none"/>
        </w:rPr>
      </w:pPr>
      <w:r>
        <w:rPr>
          <w:rFonts w:hint="eastAsia"/>
          <w:color w:val="000000"/>
          <w:sz w:val="20"/>
          <w:szCs w:val="20"/>
          <w:lang w:val="en-US" w:eastAsia="zh-CN"/>
        </w:rPr>
        <w:t>书名：幼儿园教育活动综合设计与实施，作者：林炎琴，出版社：上海交通大学出版社，版本信息：</w:t>
      </w:r>
      <w:r>
        <w:rPr>
          <w:rFonts w:hint="eastAsia"/>
          <w:color w:val="000000"/>
          <w:sz w:val="20"/>
          <w:szCs w:val="20"/>
        </w:rPr>
        <w:t>20</w:t>
      </w:r>
      <w:r>
        <w:rPr>
          <w:rFonts w:hint="eastAsia"/>
          <w:color w:val="000000"/>
          <w:sz w:val="20"/>
          <w:szCs w:val="20"/>
          <w:lang w:val="en-US" w:eastAsia="zh-CN"/>
        </w:rPr>
        <w:t>18年6月</w:t>
      </w:r>
      <w:r>
        <w:rPr>
          <w:rFonts w:hint="eastAsia"/>
          <w:color w:val="000000"/>
          <w:sz w:val="20"/>
          <w:szCs w:val="20"/>
        </w:rPr>
        <w:t>（出版时间），版次：第</w:t>
      </w:r>
      <w:r>
        <w:rPr>
          <w:rFonts w:hint="eastAsia"/>
          <w:color w:val="000000"/>
          <w:sz w:val="20"/>
          <w:szCs w:val="20"/>
          <w:lang w:val="en-US" w:eastAsia="zh-CN"/>
        </w:rPr>
        <w:t>1</w:t>
      </w:r>
      <w:r>
        <w:rPr>
          <w:rFonts w:hint="eastAsia"/>
          <w:color w:val="000000"/>
          <w:sz w:val="20"/>
          <w:szCs w:val="20"/>
        </w:rPr>
        <w:t>版，书号（ISBN）：</w:t>
      </w:r>
      <w:r>
        <w:rPr>
          <w:rFonts w:hint="eastAsia"/>
          <w:color w:val="000000"/>
          <w:sz w:val="20"/>
          <w:szCs w:val="20"/>
          <w:lang w:val="en-US" w:eastAsia="zh-CN"/>
        </w:rPr>
        <w:t>9787313190901；</w:t>
      </w:r>
    </w:p>
    <w:p>
      <w:pPr>
        <w:numPr>
          <w:ilvl w:val="0"/>
          <w:numId w:val="1"/>
        </w:numPr>
        <w:snapToGrid w:val="0"/>
        <w:spacing w:line="288" w:lineRule="auto"/>
        <w:ind w:left="718" w:leftChars="342" w:firstLine="100" w:firstLineChars="50"/>
        <w:rPr>
          <w:rFonts w:hint="eastAsia" w:eastAsia="宋体"/>
          <w:color w:val="000000"/>
          <w:sz w:val="20"/>
          <w:szCs w:val="20"/>
          <w:lang w:val="en-US" w:eastAsia="zh-CN"/>
        </w:rPr>
      </w:pPr>
      <w:r>
        <w:rPr>
          <w:rFonts w:hint="eastAsia"/>
          <w:color w:val="000000"/>
          <w:sz w:val="20"/>
          <w:szCs w:val="20"/>
          <w:highlight w:val="none"/>
          <w:lang w:val="en-US" w:eastAsia="zh-CN"/>
        </w:rPr>
        <w:t>书名：幼儿园课程，作者：朱家雄，出版社：华东师范大学出版社，版本信息：2011年2月（出版时间），版次：第2版，</w:t>
      </w:r>
      <w:r>
        <w:rPr>
          <w:rFonts w:hint="eastAsia"/>
          <w:color w:val="000000"/>
          <w:sz w:val="20"/>
          <w:szCs w:val="20"/>
        </w:rPr>
        <w:t>书号（ISBN）</w:t>
      </w:r>
      <w:r>
        <w:rPr>
          <w:rFonts w:hint="eastAsia"/>
          <w:color w:val="000000"/>
          <w:sz w:val="20"/>
          <w:szCs w:val="20"/>
          <w:lang w:eastAsia="zh-CN"/>
        </w:rPr>
        <w:t>：</w:t>
      </w:r>
      <w:r>
        <w:rPr>
          <w:rFonts w:hint="eastAsia"/>
          <w:color w:val="000000"/>
          <w:sz w:val="20"/>
          <w:szCs w:val="20"/>
          <w:highlight w:val="none"/>
          <w:lang w:val="en-US" w:eastAsia="zh-CN"/>
        </w:rPr>
        <w:t>9787561733721；</w:t>
      </w:r>
      <w:r>
        <w:rPr>
          <w:color w:val="000000"/>
          <w:sz w:val="20"/>
          <w:szCs w:val="20"/>
          <w:highlight w:val="none"/>
        </w:rPr>
        <w:t>】</w:t>
      </w:r>
    </w:p>
    <w:p>
      <w:pPr>
        <w:snapToGrid w:val="0"/>
        <w:spacing w:line="288" w:lineRule="auto"/>
        <w:ind w:firstLine="394" w:firstLineChars="196"/>
        <w:rPr>
          <w:rFonts w:hint="eastAsia" w:eastAsia="宋体"/>
          <w:color w:val="000000"/>
          <w:sz w:val="20"/>
          <w:szCs w:val="20"/>
          <w:highlight w:val="none"/>
          <w:lang w:val="en-US" w:eastAsia="zh-CN"/>
        </w:rPr>
      </w:pPr>
      <w:r>
        <w:rPr>
          <w:rFonts w:hint="eastAsia"/>
          <w:b/>
          <w:bCs/>
          <w:color w:val="000000"/>
          <w:sz w:val="20"/>
          <w:szCs w:val="20"/>
          <w:highlight w:val="none"/>
        </w:rPr>
        <w:t>课程网站网址：</w:t>
      </w:r>
      <w:r>
        <w:rPr>
          <w:rFonts w:hint="eastAsia"/>
          <w:b/>
          <w:bCs/>
          <w:color w:val="000000"/>
          <w:sz w:val="20"/>
          <w:szCs w:val="20"/>
          <w:highlight w:val="none"/>
          <w:lang w:val="en-US" w:eastAsia="zh-CN"/>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智慧对对碰1 2135050（2）</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《智慧对对碰》是旨在培养学生专业实践能力与专业反思能力的实践课程。通过深入保教现场观察与思考，对涉及幼儿园教育过程的现象与问题进行梳理、探讨、辩论。</w:t>
      </w:r>
    </w:p>
    <w:p>
      <w:pPr>
        <w:snapToGrid w:val="0"/>
        <w:spacing w:line="288" w:lineRule="auto"/>
        <w:ind w:firstLine="400" w:firstLineChars="200"/>
        <w:rPr>
          <w:color w:val="000000"/>
          <w:sz w:val="20"/>
          <w:szCs w:val="20"/>
        </w:rPr>
      </w:pPr>
      <w:r>
        <w:rPr>
          <w:rFonts w:hint="eastAsia"/>
          <w:color w:val="000000"/>
          <w:sz w:val="20"/>
          <w:szCs w:val="20"/>
        </w:rPr>
        <w:t>本课程采用在保教实践体验的基础上进行思考与讨论的方式展开。学生或进入保教现场体验，或通过现场视频观看，各自记录过程要点、感悟及问题，然后进行分析整理并提出问题，进而借助阅读、思考等提出自己的见解，以小组形式展开讨论，发表自己的观点。</w:t>
      </w:r>
    </w:p>
    <w:p>
      <w:pPr>
        <w:snapToGrid w:val="0"/>
        <w:spacing w:line="288" w:lineRule="auto"/>
        <w:ind w:firstLine="400" w:firstLineChars="200"/>
        <w:rPr>
          <w:color w:val="000000"/>
          <w:sz w:val="20"/>
          <w:szCs w:val="20"/>
        </w:rPr>
      </w:pPr>
      <w:r>
        <w:rPr>
          <w:rFonts w:hint="eastAsia"/>
          <w:color w:val="000000"/>
          <w:sz w:val="20"/>
          <w:szCs w:val="20"/>
        </w:rPr>
        <w:t>课程整个流程的关键三个环节：体验、思考、表达。</w:t>
      </w:r>
    </w:p>
    <w:p>
      <w:pPr>
        <w:snapToGrid w:val="0"/>
        <w:spacing w:line="288" w:lineRule="auto"/>
        <w:ind w:firstLine="400" w:firstLineChars="200"/>
        <w:rPr>
          <w:rFonts w:hint="eastAsia"/>
          <w:color w:val="000000"/>
          <w:sz w:val="20"/>
          <w:szCs w:val="20"/>
        </w:rPr>
      </w:pPr>
      <w:r>
        <w:rPr>
          <w:rFonts w:hint="eastAsia"/>
          <w:color w:val="000000"/>
          <w:sz w:val="20"/>
          <w:szCs w:val="20"/>
        </w:rPr>
        <w:t>本课程采用双导师制。幼儿园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本学期课程为专业实践的第二阶段（“水中捞月”阶段），旨在帮助学生开始聚焦一些重点问题，进一步提升观察记录、发现问题并分析问题的能力。</w:t>
      </w:r>
    </w:p>
    <w:p>
      <w:pPr>
        <w:snapToGrid w:val="0"/>
        <w:spacing w:line="288" w:lineRule="auto"/>
        <w:ind w:firstLine="400" w:firstLineChars="200"/>
        <w:rPr>
          <w:rFonts w:hint="eastAsia"/>
          <w:color w:val="000000"/>
          <w:sz w:val="20"/>
          <w:szCs w:val="20"/>
          <w:lang w:val="en-US" w:eastAsia="zh-CN"/>
        </w:rPr>
      </w:pPr>
      <w:r>
        <w:rPr>
          <w:rFonts w:hint="eastAsia"/>
          <w:color w:val="000000"/>
          <w:sz w:val="20"/>
          <w:szCs w:val="20"/>
          <w:lang w:val="en-US" w:eastAsia="zh-CN"/>
        </w:rPr>
        <w:t>本学期课程就学生在幼儿园保教现场，观看一日生活实况录播、专家讲座、学术研讨会议等视频等过程中，针对幼儿园保育工作、</w:t>
      </w:r>
      <w:r>
        <w:rPr>
          <w:rFonts w:hint="default"/>
          <w:color w:val="000000"/>
          <w:sz w:val="20"/>
          <w:szCs w:val="20"/>
          <w:lang w:val="en-US" w:eastAsia="zh-CN"/>
        </w:rPr>
        <w:t>幼儿园</w:t>
      </w:r>
      <w:r>
        <w:rPr>
          <w:rFonts w:hint="eastAsia"/>
          <w:color w:val="000000"/>
          <w:sz w:val="20"/>
          <w:szCs w:val="20"/>
          <w:lang w:val="en-US" w:eastAsia="zh-CN"/>
        </w:rPr>
        <w:t>班级室内环境创设，保教现场的教师语言等产生的问题、思考及感悟，引导学生开始聚焦一些重点问题，把心理学基础、教育心理学、教育哲学、教师口语等的课程知识运用于分析保教现场的问题，表达对相关问题的看法。</w:t>
      </w:r>
    </w:p>
    <w:p>
      <w:pPr>
        <w:snapToGrid w:val="0"/>
        <w:spacing w:line="288" w:lineRule="auto"/>
        <w:ind w:firstLine="400" w:firstLineChars="200"/>
        <w:rPr>
          <w:rFonts w:hint="default"/>
          <w:color w:val="000000"/>
          <w:sz w:val="20"/>
          <w:szCs w:val="20"/>
          <w:lang w:val="en-US" w:eastAsia="zh-CN"/>
        </w:rPr>
      </w:pPr>
    </w:p>
    <w:p>
      <w:pPr>
        <w:snapToGrid w:val="0"/>
        <w:spacing w:line="288" w:lineRule="auto"/>
        <w:ind w:firstLine="400" w:firstLineChars="200"/>
        <w:rPr>
          <w:rFonts w:hint="default"/>
          <w:color w:val="000000"/>
          <w:sz w:val="20"/>
          <w:szCs w:val="20"/>
          <w:lang w:val="en-US" w:eastAsia="zh-CN"/>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hint="eastAsia"/>
          <w:color w:val="000000"/>
          <w:sz w:val="20"/>
          <w:szCs w:val="20"/>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ind w:firstLine="400" w:firstLineChars="200"/>
        <w:rPr>
          <w:rFonts w:hint="eastAsia"/>
          <w:color w:val="000000"/>
          <w:sz w:val="20"/>
          <w:szCs w:val="20"/>
        </w:rPr>
      </w:pPr>
    </w:p>
    <w:p>
      <w:pPr>
        <w:snapToGrid w:val="0"/>
        <w:spacing w:line="288" w:lineRule="auto"/>
        <w:rPr>
          <w:rFonts w:hint="eastAsia"/>
          <w:color w:val="000000"/>
          <w:sz w:val="20"/>
          <w:szCs w:val="20"/>
        </w:rPr>
      </w:pPr>
    </w:p>
    <w:p>
      <w:pPr>
        <w:widowControl/>
        <w:numPr>
          <w:ilvl w:val="0"/>
          <w:numId w:val="2"/>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LO3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p>
        </w:tc>
      </w:tr>
    </w:tbl>
    <w:p/>
    <w:p>
      <w:pPr>
        <w:ind w:firstLine="420" w:firstLineChars="200"/>
      </w:pPr>
      <w:r>
        <w:rPr>
          <w:rFonts w:hint="eastAsia"/>
        </w:rPr>
        <w:t>备注：LO=</w:t>
      </w:r>
      <w:r>
        <w:t>learning outcomes</w:t>
      </w:r>
      <w:r>
        <w:rPr>
          <w:rFonts w:hint="eastAsia"/>
        </w:rPr>
        <w:t>（学习成果）</w:t>
      </w:r>
    </w:p>
    <w:p/>
    <w:p/>
    <w:p/>
    <w:p/>
    <w:p/>
    <w:p/>
    <w:p/>
    <w:p/>
    <w:p>
      <w:pPr>
        <w:widowControl/>
        <w:numPr>
          <w:ilvl w:val="0"/>
          <w:numId w:val="2"/>
        </w:numPr>
        <w:spacing w:beforeLines="50" w:afterLines="50" w:line="288" w:lineRule="auto"/>
        <w:ind w:left="0" w:leftChars="0" w:firstLine="360" w:firstLineChars="150"/>
        <w:jc w:val="left"/>
        <w:rPr>
          <w:rFonts w:ascii="黑体" w:hAnsi="宋体" w:eastAsia="黑体"/>
          <w:sz w:val="24"/>
          <w:highlight w:val="none"/>
          <w:u w:val="none"/>
        </w:rPr>
      </w:pP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222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了解幼儿园保教工作特点，感受幼教实践的丰富性、复杂性和专业性，树立正确的保教观。</w:t>
            </w:r>
          </w:p>
        </w:tc>
        <w:tc>
          <w:tcPr>
            <w:tcW w:w="2199" w:type="dxa"/>
            <w:shd w:val="clear" w:color="auto" w:fill="auto"/>
          </w:tcPr>
          <w:p>
            <w:pPr>
              <w:numPr>
                <w:ilvl w:val="0"/>
                <w:numId w:val="3"/>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组织与参与“智慧对对碰”活动，在</w:t>
            </w:r>
            <w:r>
              <w:rPr>
                <w:rFonts w:hint="default" w:asciiTheme="minorEastAsia" w:hAnsiTheme="minorEastAsia" w:eastAsiaTheme="minorEastAsia"/>
                <w:bCs/>
                <w:szCs w:val="21"/>
                <w:lang w:val="en-US" w:eastAsia="zh-CN"/>
              </w:rPr>
              <w:t>讨论中扮演问题组</w:t>
            </w:r>
            <w:r>
              <w:rPr>
                <w:rFonts w:hint="eastAsia" w:asciiTheme="minorEastAsia" w:hAnsiTheme="minorEastAsia" w:eastAsiaTheme="minorEastAsia"/>
                <w:bCs/>
                <w:szCs w:val="21"/>
                <w:lang w:val="en-US" w:eastAsia="zh-CN"/>
              </w:rPr>
              <w:t>或</w:t>
            </w:r>
            <w:r>
              <w:rPr>
                <w:rFonts w:hint="default" w:asciiTheme="minorEastAsia" w:hAnsiTheme="minorEastAsia" w:eastAsiaTheme="minorEastAsia"/>
                <w:bCs/>
                <w:szCs w:val="21"/>
                <w:lang w:val="en-US" w:eastAsia="zh-CN"/>
              </w:rPr>
              <w:t>讨论组</w:t>
            </w:r>
            <w:r>
              <w:rPr>
                <w:rFonts w:hint="eastAsia" w:asciiTheme="minorEastAsia" w:hAnsiTheme="minorEastAsia" w:eastAsiaTheme="minorEastAsia"/>
                <w:bCs/>
                <w:szCs w:val="21"/>
                <w:lang w:val="en-US" w:eastAsia="zh-CN"/>
              </w:rPr>
              <w:t>的角色并承担对应的任务；</w:t>
            </w:r>
          </w:p>
          <w:p>
            <w:pPr>
              <w:numPr>
                <w:ilvl w:val="0"/>
                <w:numId w:val="3"/>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在保教实践体验或观看保教视频的基础上，结合自身记录要点、感悟及疑问，积极分享、提问、互动；</w:t>
            </w:r>
          </w:p>
          <w:p>
            <w:pPr>
              <w:numPr>
                <w:ilvl w:val="0"/>
                <w:numId w:val="3"/>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借助阅读、思考，借助专业课程的视角等参与研讨、发表各自的观点。</w:t>
            </w:r>
          </w:p>
        </w:tc>
        <w:tc>
          <w:tcPr>
            <w:tcW w:w="1276" w:type="dxa"/>
            <w:shd w:val="clear" w:color="auto" w:fill="auto"/>
          </w:tcPr>
          <w:p>
            <w:pPr>
              <w:snapToGrid w:val="0"/>
              <w:spacing w:line="288" w:lineRule="auto"/>
              <w:jc w:val="both"/>
              <w:rPr>
                <w:rFonts w:hint="eastAsia" w:ascii="黑体" w:hAnsi="宋体" w:eastAsia="黑体"/>
                <w:sz w:val="24"/>
                <w:lang w:val="en-US" w:eastAsia="zh-CN"/>
              </w:rPr>
            </w:pPr>
            <w:r>
              <w:rPr>
                <w:rFonts w:hint="eastAsia" w:ascii="黑体" w:hAnsi="宋体" w:eastAsia="黑体"/>
                <w:sz w:val="24"/>
                <w:lang w:val="en-US" w:eastAsia="zh-CN"/>
              </w:rPr>
              <w:t>现场参与情况；</w:t>
            </w:r>
          </w:p>
          <w:p>
            <w:pPr>
              <w:snapToGrid w:val="0"/>
              <w:spacing w:line="288" w:lineRule="auto"/>
              <w:jc w:val="both"/>
              <w:rPr>
                <w:rFonts w:hint="default" w:ascii="黑体" w:hAnsi="宋体" w:eastAsia="黑体"/>
                <w:sz w:val="24"/>
                <w:lang w:val="en-US" w:eastAsia="zh-CN"/>
              </w:rPr>
            </w:pPr>
            <w:r>
              <w:rPr>
                <w:rFonts w:hint="eastAsia" w:ascii="黑体" w:hAnsi="宋体" w:eastAsia="黑体"/>
                <w:sz w:val="24"/>
                <w:lang w:val="en-US" w:eastAsia="zh-CN"/>
              </w:rPr>
              <w:t>智慧对对碰成效；小组内评价、汇报评价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tc>
        <w:tc>
          <w:tcPr>
            <w:tcW w:w="1175" w:type="dxa"/>
            <w:shd w:val="clear" w:color="auto" w:fill="auto"/>
            <w:vAlign w:val="top"/>
          </w:tcPr>
          <w:p>
            <w:pPr>
              <w:rPr>
                <w:rFonts w:hint="default"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232</w:t>
            </w:r>
          </w:p>
        </w:tc>
        <w:tc>
          <w:tcPr>
            <w:tcW w:w="2470" w:type="dxa"/>
            <w:shd w:val="clear" w:color="auto" w:fill="auto"/>
          </w:tcPr>
          <w:p>
            <w:pPr>
              <w:rPr>
                <w:rFonts w:hint="eastAsia" w:ascii="仿宋" w:hAnsi="仿宋" w:eastAsia="仿宋" w:cs="宋体"/>
                <w:color w:val="000000"/>
                <w:kern w:val="0"/>
                <w:sz w:val="24"/>
              </w:rPr>
            </w:pPr>
            <w:r>
              <w:rPr>
                <w:rFonts w:hint="eastAsia" w:ascii="仿宋" w:hAnsi="仿宋" w:eastAsia="仿宋" w:cs="宋体"/>
                <w:color w:val="000000"/>
                <w:kern w:val="0"/>
                <w:sz w:val="24"/>
              </w:rPr>
              <w:t>观察和体会幼儿园环境、材料的课程价值，分析其合理性。</w:t>
            </w:r>
          </w:p>
        </w:tc>
        <w:tc>
          <w:tcPr>
            <w:tcW w:w="2199" w:type="dxa"/>
            <w:shd w:val="clear" w:color="auto" w:fill="auto"/>
          </w:tcPr>
          <w:p>
            <w:pPr>
              <w:numPr>
                <w:ilvl w:val="0"/>
                <w:numId w:val="4"/>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组织与参与“智慧对对碰”活动，在</w:t>
            </w:r>
            <w:r>
              <w:rPr>
                <w:rFonts w:hint="default" w:asciiTheme="minorEastAsia" w:hAnsiTheme="minorEastAsia" w:eastAsiaTheme="minorEastAsia"/>
                <w:bCs/>
                <w:szCs w:val="21"/>
                <w:lang w:val="en-US" w:eastAsia="zh-CN"/>
              </w:rPr>
              <w:t>讨论中扮演问题组</w:t>
            </w:r>
            <w:r>
              <w:rPr>
                <w:rFonts w:hint="eastAsia" w:asciiTheme="minorEastAsia" w:hAnsiTheme="minorEastAsia" w:eastAsiaTheme="minorEastAsia"/>
                <w:bCs/>
                <w:szCs w:val="21"/>
                <w:lang w:val="en-US" w:eastAsia="zh-CN"/>
              </w:rPr>
              <w:t>或</w:t>
            </w:r>
            <w:r>
              <w:rPr>
                <w:rFonts w:hint="default" w:asciiTheme="minorEastAsia" w:hAnsiTheme="minorEastAsia" w:eastAsiaTheme="minorEastAsia"/>
                <w:bCs/>
                <w:szCs w:val="21"/>
                <w:lang w:val="en-US" w:eastAsia="zh-CN"/>
              </w:rPr>
              <w:t>讨论组</w:t>
            </w:r>
            <w:r>
              <w:rPr>
                <w:rFonts w:hint="eastAsia" w:asciiTheme="minorEastAsia" w:hAnsiTheme="minorEastAsia" w:eastAsiaTheme="minorEastAsia"/>
                <w:bCs/>
                <w:szCs w:val="21"/>
                <w:lang w:val="en-US" w:eastAsia="zh-CN"/>
              </w:rPr>
              <w:t>的角色并承担对应的任务；</w:t>
            </w:r>
          </w:p>
          <w:p>
            <w:pPr>
              <w:numPr>
                <w:ilvl w:val="0"/>
                <w:numId w:val="4"/>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在保教实践体验或观看保教视频的基础上，结合自身记录要点、感悟及疑问，积极分享、提问、互动；</w:t>
            </w:r>
          </w:p>
          <w:p>
            <w:pPr>
              <w:numPr>
                <w:ilvl w:val="0"/>
                <w:numId w:val="4"/>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借助阅读、思考，借助专业课程的视角等参与研讨、发表各自的观点。</w:t>
            </w:r>
          </w:p>
        </w:tc>
        <w:tc>
          <w:tcPr>
            <w:tcW w:w="1276" w:type="dxa"/>
            <w:shd w:val="clear" w:color="auto" w:fill="auto"/>
          </w:tcPr>
          <w:p>
            <w:pPr>
              <w:snapToGrid w:val="0"/>
              <w:spacing w:line="288" w:lineRule="auto"/>
              <w:jc w:val="both"/>
              <w:rPr>
                <w:rFonts w:hint="eastAsia" w:ascii="黑体" w:hAnsi="宋体" w:eastAsia="黑体"/>
                <w:sz w:val="24"/>
                <w:lang w:val="en-US" w:eastAsia="zh-CN"/>
              </w:rPr>
            </w:pPr>
            <w:r>
              <w:rPr>
                <w:rFonts w:hint="eastAsia" w:ascii="黑体" w:hAnsi="宋体" w:eastAsia="黑体"/>
                <w:sz w:val="24"/>
                <w:lang w:val="en-US" w:eastAsia="zh-CN"/>
              </w:rPr>
              <w:t>现场参与情况；</w:t>
            </w:r>
          </w:p>
          <w:p>
            <w:pPr>
              <w:snapToGrid w:val="0"/>
              <w:spacing w:line="288" w:lineRule="auto"/>
              <w:jc w:val="both"/>
              <w:rPr>
                <w:rFonts w:hint="eastAsia" w:ascii="黑体" w:hAnsi="宋体" w:eastAsia="黑体"/>
                <w:sz w:val="24"/>
                <w:lang w:val="en-US" w:eastAsia="zh-CN"/>
              </w:rPr>
            </w:pPr>
            <w:r>
              <w:rPr>
                <w:rFonts w:hint="eastAsia" w:ascii="黑体" w:hAnsi="宋体" w:eastAsia="黑体"/>
                <w:sz w:val="24"/>
                <w:lang w:val="en-US" w:eastAsia="zh-CN"/>
              </w:rPr>
              <w:t>智慧对对碰成效；小组内评价、汇报评价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3</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411</w:t>
            </w:r>
          </w:p>
        </w:tc>
        <w:tc>
          <w:tcPr>
            <w:tcW w:w="2470" w:type="dxa"/>
            <w:shd w:val="clear" w:color="auto" w:fill="auto"/>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学生进入保教现场体验或通过现场视频观看，在保教实践体验的基础上各自记录过程要点、感悟及疑问，然后进行分析整理并提出问题，进而</w:t>
            </w:r>
            <w:r>
              <w:rPr>
                <w:rFonts w:hint="eastAsia" w:ascii="仿宋" w:hAnsi="仿宋" w:eastAsia="仿宋" w:cs="宋体"/>
                <w:color w:val="000000"/>
                <w:kern w:val="0"/>
                <w:sz w:val="24"/>
                <w:lang w:val="en-US" w:eastAsia="zh-CN"/>
              </w:rPr>
              <w:t>通过</w:t>
            </w:r>
            <w:r>
              <w:rPr>
                <w:rFonts w:hint="eastAsia" w:ascii="仿宋" w:hAnsi="仿宋" w:eastAsia="仿宋" w:cs="宋体"/>
                <w:color w:val="000000"/>
                <w:kern w:val="0"/>
                <w:sz w:val="24"/>
              </w:rPr>
              <w:t>阅读、思考，借助专业课程的视角等提出自己的见解</w:t>
            </w:r>
            <w:r>
              <w:rPr>
                <w:rFonts w:hint="eastAsia" w:ascii="仿宋" w:hAnsi="仿宋" w:eastAsia="仿宋" w:cs="宋体"/>
                <w:color w:val="000000"/>
                <w:kern w:val="0"/>
                <w:sz w:val="24"/>
                <w:lang w:eastAsia="zh-CN"/>
              </w:rPr>
              <w:t>。</w:t>
            </w:r>
          </w:p>
        </w:tc>
        <w:tc>
          <w:tcPr>
            <w:tcW w:w="2199" w:type="dxa"/>
            <w:shd w:val="clear" w:color="auto" w:fill="auto"/>
          </w:tcPr>
          <w:p>
            <w:pPr>
              <w:numPr>
                <w:ilvl w:val="0"/>
                <w:numId w:val="5"/>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组织与参与“智慧对对碰”活动，在</w:t>
            </w:r>
            <w:r>
              <w:rPr>
                <w:rFonts w:hint="default" w:asciiTheme="minorEastAsia" w:hAnsiTheme="minorEastAsia" w:eastAsiaTheme="minorEastAsia"/>
                <w:bCs/>
                <w:szCs w:val="21"/>
                <w:lang w:val="en-US" w:eastAsia="zh-CN"/>
              </w:rPr>
              <w:t>讨论中扮演问题组</w:t>
            </w:r>
            <w:r>
              <w:rPr>
                <w:rFonts w:hint="eastAsia" w:asciiTheme="minorEastAsia" w:hAnsiTheme="minorEastAsia" w:eastAsiaTheme="minorEastAsia"/>
                <w:bCs/>
                <w:szCs w:val="21"/>
                <w:lang w:val="en-US" w:eastAsia="zh-CN"/>
              </w:rPr>
              <w:t>或</w:t>
            </w:r>
            <w:r>
              <w:rPr>
                <w:rFonts w:hint="default" w:asciiTheme="minorEastAsia" w:hAnsiTheme="minorEastAsia" w:eastAsiaTheme="minorEastAsia"/>
                <w:bCs/>
                <w:szCs w:val="21"/>
                <w:lang w:val="en-US" w:eastAsia="zh-CN"/>
              </w:rPr>
              <w:t>讨论组</w:t>
            </w:r>
            <w:r>
              <w:rPr>
                <w:rFonts w:hint="eastAsia" w:asciiTheme="minorEastAsia" w:hAnsiTheme="minorEastAsia" w:eastAsiaTheme="minorEastAsia"/>
                <w:bCs/>
                <w:szCs w:val="21"/>
                <w:lang w:val="en-US" w:eastAsia="zh-CN"/>
              </w:rPr>
              <w:t>的角色并承担对应的任务；</w:t>
            </w:r>
          </w:p>
          <w:p>
            <w:pPr>
              <w:numPr>
                <w:ilvl w:val="0"/>
                <w:numId w:val="5"/>
              </w:numPr>
              <w:rPr>
                <w:rFonts w:hint="default" w:ascii="黑体" w:hAnsi="宋体" w:eastAsia="黑体"/>
                <w:sz w:val="24"/>
                <w:lang w:val="en-US" w:eastAsia="zh-CN"/>
              </w:rPr>
            </w:pPr>
            <w:r>
              <w:rPr>
                <w:rFonts w:hint="eastAsia" w:asciiTheme="minorEastAsia" w:hAnsiTheme="minorEastAsia" w:eastAsiaTheme="minorEastAsia"/>
                <w:bCs/>
                <w:szCs w:val="21"/>
                <w:lang w:val="en-US" w:eastAsia="zh-CN"/>
              </w:rPr>
              <w:t>在保教实践体验或观看保教视频的基础上，结合自身记录要点、感悟及疑问，积极分享、提问、互动；</w:t>
            </w:r>
          </w:p>
          <w:p>
            <w:pPr>
              <w:numPr>
                <w:ilvl w:val="0"/>
                <w:numId w:val="5"/>
              </w:numPr>
              <w:rPr>
                <w:rFonts w:hint="default" w:ascii="黑体" w:hAnsi="宋体" w:eastAsia="黑体"/>
                <w:sz w:val="24"/>
                <w:lang w:val="en-US" w:eastAsia="zh-CN"/>
              </w:rPr>
            </w:pPr>
            <w:r>
              <w:rPr>
                <w:rFonts w:hint="eastAsia" w:asciiTheme="minorEastAsia" w:hAnsiTheme="minorEastAsia" w:eastAsiaTheme="minorEastAsia"/>
                <w:bCs/>
                <w:szCs w:val="21"/>
                <w:lang w:val="en-US" w:eastAsia="zh-CN"/>
              </w:rPr>
              <w:t>借助阅读、思考，借助专业课程的视角等参与研讨、发表各自的观点。</w:t>
            </w:r>
          </w:p>
        </w:tc>
        <w:tc>
          <w:tcPr>
            <w:tcW w:w="1276" w:type="dxa"/>
            <w:shd w:val="clear" w:color="auto" w:fill="auto"/>
          </w:tcPr>
          <w:p>
            <w:pPr>
              <w:snapToGrid w:val="0"/>
              <w:spacing w:line="288" w:lineRule="auto"/>
              <w:jc w:val="both"/>
              <w:rPr>
                <w:rFonts w:hint="eastAsia" w:ascii="黑体" w:hAnsi="宋体" w:eastAsia="黑体"/>
                <w:sz w:val="24"/>
                <w:lang w:val="en-US" w:eastAsia="zh-CN"/>
              </w:rPr>
            </w:pPr>
            <w:r>
              <w:rPr>
                <w:rFonts w:hint="eastAsia" w:ascii="黑体" w:hAnsi="宋体" w:eastAsia="黑体"/>
                <w:sz w:val="24"/>
                <w:lang w:val="en-US" w:eastAsia="zh-CN"/>
              </w:rPr>
              <w:t>课堂执行规则情况；</w:t>
            </w:r>
          </w:p>
          <w:p>
            <w:pPr>
              <w:snapToGrid w:val="0"/>
              <w:spacing w:line="288" w:lineRule="auto"/>
              <w:jc w:val="both"/>
              <w:rPr>
                <w:rFonts w:hint="eastAsia" w:ascii="黑体" w:hAnsi="宋体" w:eastAsia="黑体"/>
                <w:sz w:val="24"/>
                <w:lang w:val="en-US" w:eastAsia="zh-CN"/>
              </w:rPr>
            </w:pPr>
            <w:r>
              <w:rPr>
                <w:rFonts w:hint="eastAsia" w:ascii="黑体" w:hAnsi="宋体" w:eastAsia="黑体"/>
                <w:sz w:val="24"/>
                <w:lang w:val="en-US" w:eastAsia="zh-CN"/>
              </w:rPr>
              <w:t>现场参与情况；</w:t>
            </w:r>
          </w:p>
          <w:p>
            <w:pPr>
              <w:snapToGrid w:val="0"/>
              <w:spacing w:line="288" w:lineRule="auto"/>
              <w:jc w:val="both"/>
              <w:rPr>
                <w:rFonts w:hint="default" w:ascii="黑体" w:hAnsi="宋体" w:eastAsia="黑体"/>
                <w:sz w:val="24"/>
                <w:lang w:val="en-US" w:eastAsia="zh-CN"/>
              </w:rPr>
            </w:pPr>
            <w:r>
              <w:rPr>
                <w:rFonts w:hint="eastAsia" w:ascii="黑体" w:hAnsi="宋体" w:eastAsia="黑体"/>
                <w:sz w:val="24"/>
                <w:lang w:val="en-US" w:eastAsia="zh-CN"/>
              </w:rPr>
              <w:t>智慧对对碰成效；小组内评价、汇报评价</w:t>
            </w:r>
          </w:p>
        </w:tc>
      </w:tr>
    </w:tbl>
    <w:p>
      <w:pPr>
        <w:snapToGrid w:val="0"/>
        <w:spacing w:line="288" w:lineRule="auto"/>
        <w:rPr>
          <w:rFonts w:ascii="黑体" w:hAnsi="宋体" w:eastAsia="黑体"/>
          <w:sz w:val="24"/>
        </w:rPr>
      </w:pPr>
    </w:p>
    <w:p>
      <w:pPr>
        <w:widowControl/>
        <w:numPr>
          <w:ilvl w:val="0"/>
          <w:numId w:val="2"/>
        </w:numPr>
        <w:spacing w:beforeLines="50" w:afterLines="50" w:line="288" w:lineRule="auto"/>
        <w:ind w:left="0" w:leftChars="0" w:firstLine="360" w:firstLineChars="150"/>
        <w:jc w:val="left"/>
        <w:rPr>
          <w:rFonts w:ascii="黑体" w:hAnsi="宋体" w:eastAsia="黑体"/>
          <w:sz w:val="24"/>
          <w:highlight w:val="none"/>
        </w:rPr>
      </w:pPr>
      <w:r>
        <w:rPr>
          <w:rFonts w:ascii="黑体" w:hAnsi="宋体" w:eastAsia="黑体"/>
          <w:sz w:val="24"/>
          <w:highlight w:val="none"/>
        </w:rPr>
        <w:t>课程内容</w:t>
      </w:r>
    </w:p>
    <w:tbl>
      <w:tblPr>
        <w:tblStyle w:val="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要点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能力期待</w:t>
            </w:r>
          </w:p>
        </w:tc>
        <w:tc>
          <w:tcPr>
            <w:tcW w:w="219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实践形式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幼儿园保育工作</w:t>
            </w:r>
          </w:p>
        </w:tc>
        <w:tc>
          <w:tcPr>
            <w:tcW w:w="2199" w:type="dxa"/>
            <w:vAlign w:val="center"/>
          </w:tcPr>
          <w:p>
            <w:pPr>
              <w:numPr>
                <w:ilvl w:val="0"/>
                <w:numId w:val="6"/>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分析</w:t>
            </w:r>
            <w:r>
              <w:rPr>
                <w:rFonts w:hint="eastAsia" w:asciiTheme="minorEastAsia" w:hAnsiTheme="minorEastAsia" w:eastAsiaTheme="minorEastAsia"/>
                <w:bCs/>
                <w:szCs w:val="21"/>
              </w:rPr>
              <w:t>幼儿园如何应对突发事件（如疫情等）</w:t>
            </w:r>
          </w:p>
          <w:p>
            <w:pPr>
              <w:numPr>
                <w:ilvl w:val="0"/>
                <w:numId w:val="6"/>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研讨幼儿园保育工作的基本内容，了解幼儿园一日生活中保育如何运行</w:t>
            </w:r>
          </w:p>
          <w:p>
            <w:pPr>
              <w:numPr>
                <w:ilvl w:val="0"/>
                <w:numId w:val="6"/>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在实践导师、专业导师的指导下，根据小中大班不同的年龄特点，对各年龄段儿童的保育工作有针对性地进行观察与分析，梳理各环节的常见问题、观察及指导要点等</w:t>
            </w:r>
          </w:p>
          <w:p>
            <w:pPr>
              <w:numPr>
                <w:ilvl w:val="0"/>
                <w:numId w:val="6"/>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分析研讨保教现场的教师语言</w:t>
            </w:r>
          </w:p>
        </w:tc>
        <w:tc>
          <w:tcPr>
            <w:tcW w:w="2381" w:type="dxa"/>
            <w:vAlign w:val="center"/>
          </w:tcPr>
          <w:p>
            <w:pPr>
              <w:numPr>
                <w:ilvl w:val="0"/>
                <w:numId w:val="7"/>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观察记录、发现问题的能力，表达对幼儿园保教工作看法的能力；</w:t>
            </w:r>
          </w:p>
          <w:p>
            <w:pPr>
              <w:numPr>
                <w:ilvl w:val="0"/>
                <w:numId w:val="7"/>
              </w:numPr>
              <w:rPr>
                <w:rFonts w:hint="default" w:asciiTheme="minorEastAsia" w:hAnsiTheme="minorEastAsia" w:eastAsiaTheme="minorEastAsia"/>
                <w:bCs/>
                <w:szCs w:val="21"/>
                <w:lang w:val="en-US" w:eastAsia="zh-CN"/>
              </w:rPr>
            </w:pPr>
            <w:r>
              <w:rPr>
                <w:rFonts w:hint="eastAsia"/>
                <w:color w:val="000000"/>
                <w:sz w:val="20"/>
                <w:szCs w:val="20"/>
                <w:lang w:val="en-US" w:eastAsia="zh-CN"/>
              </w:rPr>
              <w:t>开始聚焦一些重点问题，能把心理学基础、教育心理学、教育哲学、教师口语等的课程知识运用于分析保教现场的问题，表达对相关问题的看法；</w:t>
            </w:r>
          </w:p>
          <w:p>
            <w:pPr>
              <w:numPr>
                <w:ilvl w:val="0"/>
                <w:numId w:val="7"/>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收集与幼儿园保育工作相关的资料与素材，进行思考与表达。</w:t>
            </w:r>
          </w:p>
        </w:tc>
        <w:tc>
          <w:tcPr>
            <w:tcW w:w="2191" w:type="dxa"/>
            <w:vAlign w:val="center"/>
          </w:tcPr>
          <w:p>
            <w:pPr>
              <w:numPr>
                <w:ilvl w:val="0"/>
                <w:numId w:val="8"/>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组织与参与“智慧对对碰”活动，在</w:t>
            </w:r>
            <w:r>
              <w:rPr>
                <w:rFonts w:hint="default" w:asciiTheme="minorEastAsia" w:hAnsiTheme="minorEastAsia" w:eastAsiaTheme="minorEastAsia"/>
                <w:bCs/>
                <w:szCs w:val="21"/>
                <w:lang w:val="en-US" w:eastAsia="zh-CN"/>
              </w:rPr>
              <w:t>讨论中扮演问题组</w:t>
            </w:r>
            <w:r>
              <w:rPr>
                <w:rFonts w:hint="eastAsia" w:asciiTheme="minorEastAsia" w:hAnsiTheme="minorEastAsia" w:eastAsiaTheme="minorEastAsia"/>
                <w:bCs/>
                <w:szCs w:val="21"/>
                <w:lang w:val="en-US" w:eastAsia="zh-CN"/>
              </w:rPr>
              <w:t>或</w:t>
            </w:r>
            <w:r>
              <w:rPr>
                <w:rFonts w:hint="default" w:asciiTheme="minorEastAsia" w:hAnsiTheme="minorEastAsia" w:eastAsiaTheme="minorEastAsia"/>
                <w:bCs/>
                <w:szCs w:val="21"/>
                <w:lang w:val="en-US" w:eastAsia="zh-CN"/>
              </w:rPr>
              <w:t>讨论组</w:t>
            </w:r>
            <w:r>
              <w:rPr>
                <w:rFonts w:hint="eastAsia" w:asciiTheme="minorEastAsia" w:hAnsiTheme="minorEastAsia" w:eastAsiaTheme="minorEastAsia"/>
                <w:bCs/>
                <w:szCs w:val="21"/>
                <w:lang w:val="en-US" w:eastAsia="zh-CN"/>
              </w:rPr>
              <w:t>的角色并承担对应的任务；</w:t>
            </w:r>
          </w:p>
          <w:p>
            <w:pPr>
              <w:numPr>
                <w:ilvl w:val="0"/>
                <w:numId w:val="8"/>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在保教实践体验或观看保教视频的基础上，结合自身记录要点、感悟及疑问，积极分享、提问、互动；</w:t>
            </w:r>
          </w:p>
          <w:p>
            <w:pPr>
              <w:numPr>
                <w:ilvl w:val="0"/>
                <w:numId w:val="8"/>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借助阅读、思考，借助专业课程的视角等参与研讨、发表各自的观点。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幼儿园班级室内环境创设</w:t>
            </w:r>
          </w:p>
        </w:tc>
        <w:tc>
          <w:tcPr>
            <w:tcW w:w="2199" w:type="dxa"/>
            <w:vAlign w:val="center"/>
          </w:tcPr>
          <w:p>
            <w:pPr>
              <w:numPr>
                <w:ilvl w:val="0"/>
                <w:numId w:val="9"/>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分析研讨幼儿园班级室内环境对于引发、支持儿童游戏及各项探索活动的积极作用</w:t>
            </w:r>
          </w:p>
          <w:p>
            <w:pPr>
              <w:numPr>
                <w:ilvl w:val="0"/>
                <w:numId w:val="9"/>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分析研讨幼儿园班级室内环境的常见划分区域及其空间结构安排；</w:t>
            </w:r>
          </w:p>
          <w:p>
            <w:pPr>
              <w:numPr>
                <w:ilvl w:val="0"/>
                <w:numId w:val="9"/>
              </w:numPr>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分析研讨幼儿园班级室内环境创设的空间使用原则等</w:t>
            </w:r>
          </w:p>
        </w:tc>
        <w:tc>
          <w:tcPr>
            <w:tcW w:w="2381" w:type="dxa"/>
            <w:vAlign w:val="center"/>
          </w:tcPr>
          <w:p>
            <w:pPr>
              <w:numPr>
                <w:ilvl w:val="0"/>
                <w:numId w:val="10"/>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观察记录、发现问题的能力，表达对幼儿园班级室内环境创设看法的能力；</w:t>
            </w:r>
          </w:p>
          <w:p>
            <w:pPr>
              <w:numPr>
                <w:ilvl w:val="0"/>
                <w:numId w:val="10"/>
              </w:numPr>
              <w:rPr>
                <w:rFonts w:hint="eastAsia" w:asciiTheme="minorEastAsia" w:hAnsiTheme="minorEastAsia" w:eastAsiaTheme="minorEastAsia"/>
                <w:bCs/>
                <w:szCs w:val="21"/>
                <w:lang w:val="en-US" w:eastAsia="zh-CN"/>
              </w:rPr>
            </w:pPr>
            <w:r>
              <w:rPr>
                <w:rFonts w:hint="eastAsia"/>
                <w:color w:val="000000"/>
                <w:sz w:val="20"/>
                <w:szCs w:val="20"/>
                <w:lang w:val="en-US" w:eastAsia="zh-CN"/>
              </w:rPr>
              <w:t>开始聚焦一些重点问题，能把心理学基础、教育心理学、教育哲学、教师口语等的课程知识运用于分析保教现场的问题，表达对相关问题的看法；</w:t>
            </w:r>
          </w:p>
          <w:p>
            <w:pPr>
              <w:numPr>
                <w:ilvl w:val="0"/>
                <w:numId w:val="10"/>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收集与幼儿园班级室内环境创设相关的资料与素材，进行思考与表达。</w:t>
            </w:r>
          </w:p>
        </w:tc>
        <w:tc>
          <w:tcPr>
            <w:tcW w:w="2191" w:type="dxa"/>
            <w:vAlign w:val="center"/>
          </w:tcPr>
          <w:p>
            <w:pPr>
              <w:numPr>
                <w:ilvl w:val="0"/>
                <w:numId w:val="11"/>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组织与参与“智慧对对碰”活动，在</w:t>
            </w:r>
            <w:r>
              <w:rPr>
                <w:rFonts w:hint="default" w:asciiTheme="minorEastAsia" w:hAnsiTheme="minorEastAsia" w:eastAsiaTheme="minorEastAsia"/>
                <w:bCs/>
                <w:szCs w:val="21"/>
                <w:lang w:val="en-US" w:eastAsia="zh-CN"/>
              </w:rPr>
              <w:t>讨论中扮演问题组</w:t>
            </w:r>
            <w:r>
              <w:rPr>
                <w:rFonts w:hint="eastAsia" w:asciiTheme="minorEastAsia" w:hAnsiTheme="minorEastAsia" w:eastAsiaTheme="minorEastAsia"/>
                <w:bCs/>
                <w:szCs w:val="21"/>
                <w:lang w:val="en-US" w:eastAsia="zh-CN"/>
              </w:rPr>
              <w:t>或</w:t>
            </w:r>
            <w:r>
              <w:rPr>
                <w:rFonts w:hint="default" w:asciiTheme="minorEastAsia" w:hAnsiTheme="minorEastAsia" w:eastAsiaTheme="minorEastAsia"/>
                <w:bCs/>
                <w:szCs w:val="21"/>
                <w:lang w:val="en-US" w:eastAsia="zh-CN"/>
              </w:rPr>
              <w:t>讨论组</w:t>
            </w:r>
            <w:r>
              <w:rPr>
                <w:rFonts w:hint="eastAsia" w:asciiTheme="minorEastAsia" w:hAnsiTheme="minorEastAsia" w:eastAsiaTheme="minorEastAsia"/>
                <w:bCs/>
                <w:szCs w:val="21"/>
                <w:lang w:val="en-US" w:eastAsia="zh-CN"/>
              </w:rPr>
              <w:t>的角色并承担对应的任务；</w:t>
            </w:r>
          </w:p>
          <w:p>
            <w:pPr>
              <w:numPr>
                <w:ilvl w:val="0"/>
                <w:numId w:val="11"/>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在保教实践体验或观看保教视频的基础上，结合自身记录要点、感悟及疑问，积极分享、提问、互动；</w:t>
            </w:r>
          </w:p>
          <w:p>
            <w:pPr>
              <w:numPr>
                <w:ilvl w:val="0"/>
                <w:numId w:val="11"/>
              </w:numPr>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借助阅读、思考，借助专业课程的视角等参与研讨、发表各自的观点。</w:t>
            </w:r>
          </w:p>
        </w:tc>
      </w:tr>
    </w:tbl>
    <w:p>
      <w:pPr>
        <w:snapToGrid w:val="0"/>
        <w:spacing w:line="288" w:lineRule="auto"/>
        <w:ind w:right="2520"/>
        <w:rPr>
          <w:rFonts w:hint="eastAsia" w:ascii="黑体" w:hAnsi="宋体" w:eastAsia="黑体"/>
          <w:sz w:val="24"/>
          <w:lang w:val="en-US" w:eastAsia="zh-CN"/>
        </w:rPr>
      </w:pPr>
    </w:p>
    <w:p>
      <w:pPr>
        <w:numPr>
          <w:ilvl w:val="0"/>
          <w:numId w:val="12"/>
        </w:num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评价方式与成绩</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5416"/>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pacing w:line="360" w:lineRule="auto"/>
              <w:jc w:val="center"/>
              <w:rPr>
                <w:rFonts w:ascii="宋体" w:hAnsi="宋体"/>
                <w:sz w:val="24"/>
                <w:szCs w:val="24"/>
              </w:rPr>
            </w:pPr>
            <w:r>
              <w:rPr>
                <w:rFonts w:hint="eastAsia" w:ascii="宋体" w:hAnsi="宋体"/>
                <w:bCs/>
                <w:szCs w:val="20"/>
              </w:rPr>
              <w:t>总评构成（4</w:t>
            </w:r>
            <w:r>
              <w:rPr>
                <w:rFonts w:ascii="宋体" w:hAnsi="宋体"/>
                <w:bCs/>
                <w:szCs w:val="20"/>
              </w:rPr>
              <w:t>X</w:t>
            </w:r>
            <w:r>
              <w:rPr>
                <w:rFonts w:hint="eastAsia" w:ascii="宋体" w:hAnsi="宋体"/>
                <w:bCs/>
                <w:szCs w:val="20"/>
              </w:rPr>
              <w:t>）</w:t>
            </w:r>
          </w:p>
        </w:tc>
        <w:tc>
          <w:tcPr>
            <w:tcW w:w="5416" w:type="dxa"/>
            <w:vAlign w:val="center"/>
          </w:tcPr>
          <w:p>
            <w:pPr>
              <w:spacing w:line="360" w:lineRule="auto"/>
              <w:jc w:val="center"/>
              <w:rPr>
                <w:rFonts w:ascii="宋体" w:hAnsi="宋体"/>
                <w:sz w:val="24"/>
                <w:szCs w:val="24"/>
              </w:rPr>
            </w:pPr>
            <w:r>
              <w:rPr>
                <w:rFonts w:hint="eastAsia" w:ascii="宋体" w:hAnsi="宋体"/>
                <w:bCs/>
                <w:szCs w:val="20"/>
              </w:rPr>
              <w:t>评价方式</w:t>
            </w:r>
          </w:p>
        </w:tc>
        <w:tc>
          <w:tcPr>
            <w:tcW w:w="1407" w:type="dxa"/>
            <w:vAlign w:val="center"/>
          </w:tcPr>
          <w:p>
            <w:pPr>
              <w:spacing w:line="360" w:lineRule="auto"/>
              <w:jc w:val="center"/>
              <w:rPr>
                <w:rFonts w:ascii="宋体" w:hAnsi="宋体"/>
                <w:sz w:val="24"/>
                <w:szCs w:val="24"/>
              </w:rPr>
            </w:pPr>
            <w:r>
              <w:rPr>
                <w:rFonts w:hint="eastAsia" w:ascii="宋体" w:hAnsi="宋体"/>
                <w:bCs/>
                <w:szCs w:val="20"/>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pacing w:line="360" w:lineRule="auto"/>
              <w:jc w:val="center"/>
              <w:rPr>
                <w:rFonts w:ascii="宋体" w:hAnsi="宋体"/>
                <w:sz w:val="24"/>
                <w:szCs w:val="24"/>
              </w:rPr>
            </w:pPr>
            <w:r>
              <w:rPr>
                <w:rFonts w:hint="eastAsia" w:ascii="宋体" w:hAnsi="宋体"/>
                <w:bCs/>
                <w:szCs w:val="20"/>
              </w:rPr>
              <w:t>X1</w:t>
            </w:r>
          </w:p>
        </w:tc>
        <w:tc>
          <w:tcPr>
            <w:tcW w:w="5416" w:type="dxa"/>
            <w:vAlign w:val="center"/>
          </w:tcPr>
          <w:p>
            <w:pPr>
              <w:spacing w:line="360" w:lineRule="auto"/>
              <w:jc w:val="center"/>
              <w:rPr>
                <w:rFonts w:ascii="宋体" w:hAnsi="宋体"/>
                <w:b/>
                <w:bCs/>
                <w:szCs w:val="21"/>
              </w:rPr>
            </w:pPr>
            <w:r>
              <w:rPr>
                <w:rFonts w:hint="eastAsia" w:ascii="宋体" w:hAnsi="宋体"/>
                <w:b/>
                <w:bCs/>
                <w:szCs w:val="21"/>
              </w:rPr>
              <w:t>课堂执行规则情况</w:t>
            </w:r>
          </w:p>
          <w:p>
            <w:pPr>
              <w:spacing w:line="360" w:lineRule="auto"/>
              <w:jc w:val="center"/>
              <w:rPr>
                <w:rFonts w:ascii="宋体" w:hAnsi="宋体"/>
                <w:sz w:val="24"/>
                <w:szCs w:val="24"/>
              </w:rPr>
            </w:pPr>
            <w:r>
              <w:rPr>
                <w:rFonts w:hint="eastAsia" w:ascii="宋体" w:hAnsi="宋体"/>
                <w:szCs w:val="21"/>
              </w:rPr>
              <w:t>态度/出勤/其他一般课堂常规要求等</w:t>
            </w:r>
          </w:p>
        </w:tc>
        <w:tc>
          <w:tcPr>
            <w:tcW w:w="1407" w:type="dxa"/>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rPr>
              <w:t>20</w:t>
            </w:r>
            <w:r>
              <w:rPr>
                <w:rFonts w:hint="eastAsia" w:ascii="宋体" w:hAnsi="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pacing w:line="360" w:lineRule="auto"/>
              <w:jc w:val="center"/>
              <w:rPr>
                <w:rFonts w:ascii="宋体" w:hAnsi="宋体"/>
                <w:sz w:val="24"/>
                <w:szCs w:val="24"/>
              </w:rPr>
            </w:pPr>
            <w:r>
              <w:rPr>
                <w:rFonts w:hint="eastAsia" w:ascii="宋体" w:hAnsi="宋体"/>
                <w:bCs/>
                <w:szCs w:val="20"/>
              </w:rPr>
              <w:t>X2</w:t>
            </w:r>
          </w:p>
        </w:tc>
        <w:tc>
          <w:tcPr>
            <w:tcW w:w="5416" w:type="dxa"/>
            <w:vAlign w:val="center"/>
          </w:tcPr>
          <w:p>
            <w:pPr>
              <w:spacing w:line="360" w:lineRule="auto"/>
              <w:jc w:val="center"/>
              <w:rPr>
                <w:rFonts w:ascii="宋体" w:hAnsi="宋体"/>
                <w:b/>
                <w:bCs/>
                <w:szCs w:val="21"/>
              </w:rPr>
            </w:pPr>
            <w:r>
              <w:rPr>
                <w:rFonts w:hint="eastAsia" w:ascii="宋体" w:hAnsi="宋体"/>
                <w:b/>
                <w:bCs/>
                <w:szCs w:val="21"/>
              </w:rPr>
              <w:t>现场参与情况</w:t>
            </w:r>
          </w:p>
          <w:p>
            <w:pPr>
              <w:spacing w:line="360" w:lineRule="auto"/>
              <w:jc w:val="center"/>
              <w:rPr>
                <w:rFonts w:ascii="宋体" w:hAnsi="宋体"/>
                <w:szCs w:val="21"/>
              </w:rPr>
            </w:pPr>
            <w:r>
              <w:rPr>
                <w:rFonts w:hint="eastAsia" w:ascii="宋体" w:hAnsi="宋体"/>
                <w:szCs w:val="21"/>
              </w:rPr>
              <w:t>对对碰参与频率/破冰游戏的组织/讨论中扮演的角色（问题组、讨论组）等</w:t>
            </w:r>
          </w:p>
        </w:tc>
        <w:tc>
          <w:tcPr>
            <w:tcW w:w="1407" w:type="dxa"/>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rPr>
              <w:t>20</w:t>
            </w:r>
            <w:r>
              <w:rPr>
                <w:rFonts w:hint="eastAsia" w:ascii="宋体" w:hAnsi="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pacing w:line="360" w:lineRule="auto"/>
              <w:jc w:val="center"/>
              <w:rPr>
                <w:rFonts w:ascii="宋体" w:hAnsi="宋体"/>
                <w:bCs/>
                <w:szCs w:val="20"/>
              </w:rPr>
            </w:pPr>
            <w:r>
              <w:rPr>
                <w:rFonts w:hint="eastAsia" w:ascii="宋体" w:hAnsi="宋体"/>
                <w:bCs/>
                <w:szCs w:val="20"/>
              </w:rPr>
              <w:t>X3</w:t>
            </w:r>
          </w:p>
        </w:tc>
        <w:tc>
          <w:tcPr>
            <w:tcW w:w="5416" w:type="dxa"/>
            <w:vAlign w:val="center"/>
          </w:tcPr>
          <w:p>
            <w:pPr>
              <w:spacing w:line="360" w:lineRule="auto"/>
              <w:jc w:val="center"/>
              <w:rPr>
                <w:rFonts w:ascii="宋体" w:hAnsi="宋体"/>
                <w:b/>
                <w:bCs/>
                <w:szCs w:val="21"/>
              </w:rPr>
            </w:pPr>
            <w:r>
              <w:rPr>
                <w:rFonts w:hint="eastAsia" w:ascii="宋体" w:hAnsi="宋体"/>
                <w:b/>
                <w:bCs/>
                <w:szCs w:val="21"/>
              </w:rPr>
              <w:t>智慧对对碰成效</w:t>
            </w:r>
          </w:p>
          <w:p>
            <w:pPr>
              <w:spacing w:line="360" w:lineRule="auto"/>
              <w:jc w:val="center"/>
              <w:rPr>
                <w:rFonts w:ascii="宋体" w:hAnsi="宋体"/>
                <w:szCs w:val="21"/>
              </w:rPr>
            </w:pPr>
            <w:r>
              <w:rPr>
                <w:rFonts w:hint="eastAsia" w:ascii="宋体" w:hAnsi="宋体"/>
                <w:szCs w:val="21"/>
              </w:rPr>
              <w:t>所提出的问题被聚集对对碰/分享保教现场案例/查阅收集资料参与对对碰/有好的见解获得大家好评/有对对碰感悟记录、发表/其他在对对碰中的良好表现</w:t>
            </w:r>
          </w:p>
        </w:tc>
        <w:tc>
          <w:tcPr>
            <w:tcW w:w="1407" w:type="dxa"/>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rPr>
              <w:t>30</w:t>
            </w:r>
            <w:r>
              <w:rPr>
                <w:rFonts w:hint="eastAsia" w:ascii="宋体" w:hAnsi="宋体"/>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9" w:type="dxa"/>
            <w:vAlign w:val="center"/>
          </w:tcPr>
          <w:p>
            <w:pPr>
              <w:spacing w:line="360" w:lineRule="auto"/>
              <w:jc w:val="center"/>
              <w:rPr>
                <w:rFonts w:ascii="宋体" w:hAnsi="宋体"/>
                <w:sz w:val="24"/>
                <w:szCs w:val="24"/>
              </w:rPr>
            </w:pPr>
            <w:r>
              <w:rPr>
                <w:rFonts w:hint="eastAsia" w:ascii="宋体" w:hAnsi="宋体"/>
                <w:bCs/>
                <w:szCs w:val="20"/>
              </w:rPr>
              <w:t>X4</w:t>
            </w:r>
          </w:p>
        </w:tc>
        <w:tc>
          <w:tcPr>
            <w:tcW w:w="5416" w:type="dxa"/>
            <w:vAlign w:val="center"/>
          </w:tcPr>
          <w:p>
            <w:pPr>
              <w:spacing w:line="360" w:lineRule="auto"/>
              <w:jc w:val="center"/>
              <w:rPr>
                <w:rFonts w:ascii="宋体" w:hAnsi="宋体"/>
                <w:szCs w:val="21"/>
              </w:rPr>
            </w:pPr>
            <w:r>
              <w:rPr>
                <w:rFonts w:hint="eastAsia" w:ascii="宋体" w:hAnsi="宋体"/>
                <w:szCs w:val="21"/>
              </w:rPr>
              <w:t>小组内评价、汇报评价</w:t>
            </w:r>
          </w:p>
        </w:tc>
        <w:tc>
          <w:tcPr>
            <w:tcW w:w="1407" w:type="dxa"/>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rPr>
              <w:t>30</w:t>
            </w:r>
            <w:r>
              <w:rPr>
                <w:rFonts w:hint="eastAsia" w:ascii="宋体" w:hAnsi="宋体"/>
                <w:sz w:val="24"/>
                <w:szCs w:val="24"/>
                <w:lang w:val="en-US" w:eastAsia="zh-CN"/>
              </w:rPr>
              <w:t>%</w:t>
            </w:r>
          </w:p>
        </w:tc>
      </w:tr>
    </w:tbl>
    <w:p>
      <w:pPr>
        <w:numPr>
          <w:ilvl w:val="0"/>
          <w:numId w:val="0"/>
        </w:numPr>
        <w:snapToGrid w:val="0"/>
        <w:spacing w:line="288" w:lineRule="auto"/>
        <w:ind w:right="2520" w:rightChars="0"/>
        <w:rPr>
          <w:rFonts w:hint="eastAsia" w:ascii="黑体" w:hAnsi="宋体" w:eastAsia="黑体"/>
          <w:sz w:val="24"/>
        </w:rPr>
      </w:pPr>
    </w:p>
    <w:p>
      <w:pPr>
        <w:widowControl/>
        <w:spacing w:beforeLines="50"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马嘉玉          </w:t>
      </w:r>
      <w:bookmarkStart w:id="1" w:name="_GoBack"/>
      <w:bookmarkEnd w:id="1"/>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C916D"/>
    <w:multiLevelType w:val="singleLevel"/>
    <w:tmpl w:val="924C916D"/>
    <w:lvl w:ilvl="0" w:tentative="0">
      <w:start w:val="1"/>
      <w:numFmt w:val="decimal"/>
      <w:lvlText w:val="%1."/>
      <w:lvlJc w:val="left"/>
      <w:pPr>
        <w:tabs>
          <w:tab w:val="left" w:pos="312"/>
        </w:tabs>
      </w:pPr>
    </w:lvl>
  </w:abstractNum>
  <w:abstractNum w:abstractNumId="1">
    <w:nsid w:val="9718D586"/>
    <w:multiLevelType w:val="singleLevel"/>
    <w:tmpl w:val="9718D586"/>
    <w:lvl w:ilvl="0" w:tentative="0">
      <w:start w:val="1"/>
      <w:numFmt w:val="decimal"/>
      <w:lvlText w:val="%1."/>
      <w:lvlJc w:val="left"/>
      <w:pPr>
        <w:tabs>
          <w:tab w:val="left" w:pos="312"/>
        </w:tabs>
      </w:pPr>
    </w:lvl>
  </w:abstractNum>
  <w:abstractNum w:abstractNumId="2">
    <w:nsid w:val="B5352FC8"/>
    <w:multiLevelType w:val="singleLevel"/>
    <w:tmpl w:val="B5352FC8"/>
    <w:lvl w:ilvl="0" w:tentative="0">
      <w:start w:val="7"/>
      <w:numFmt w:val="chineseCounting"/>
      <w:suff w:val="nothing"/>
      <w:lvlText w:val="%1、"/>
      <w:lvlJc w:val="left"/>
      <w:rPr>
        <w:rFonts w:hint="eastAsia"/>
      </w:rPr>
    </w:lvl>
  </w:abstractNum>
  <w:abstractNum w:abstractNumId="3">
    <w:nsid w:val="BE61CCAE"/>
    <w:multiLevelType w:val="singleLevel"/>
    <w:tmpl w:val="BE61CCAE"/>
    <w:lvl w:ilvl="0" w:tentative="0">
      <w:start w:val="1"/>
      <w:numFmt w:val="decimal"/>
      <w:lvlText w:val="%1."/>
      <w:lvlJc w:val="left"/>
      <w:pPr>
        <w:tabs>
          <w:tab w:val="left" w:pos="312"/>
        </w:tabs>
      </w:pPr>
    </w:lvl>
  </w:abstractNum>
  <w:abstractNum w:abstractNumId="4">
    <w:nsid w:val="C221A774"/>
    <w:multiLevelType w:val="singleLevel"/>
    <w:tmpl w:val="C221A774"/>
    <w:lvl w:ilvl="0" w:tentative="0">
      <w:start w:val="1"/>
      <w:numFmt w:val="decimal"/>
      <w:lvlText w:val="%1."/>
      <w:lvlJc w:val="left"/>
      <w:pPr>
        <w:tabs>
          <w:tab w:val="left" w:pos="312"/>
        </w:tabs>
      </w:pPr>
    </w:lvl>
  </w:abstractNum>
  <w:abstractNum w:abstractNumId="5">
    <w:nsid w:val="D58D4422"/>
    <w:multiLevelType w:val="singleLevel"/>
    <w:tmpl w:val="D58D4422"/>
    <w:lvl w:ilvl="0" w:tentative="0">
      <w:start w:val="1"/>
      <w:numFmt w:val="decimal"/>
      <w:lvlText w:val="%1."/>
      <w:lvlJc w:val="left"/>
      <w:pPr>
        <w:tabs>
          <w:tab w:val="left" w:pos="312"/>
        </w:tabs>
      </w:pPr>
    </w:lvl>
  </w:abstractNum>
  <w:abstractNum w:abstractNumId="6">
    <w:nsid w:val="F70E2455"/>
    <w:multiLevelType w:val="singleLevel"/>
    <w:tmpl w:val="F70E2455"/>
    <w:lvl w:ilvl="0" w:tentative="0">
      <w:start w:val="1"/>
      <w:numFmt w:val="decimal"/>
      <w:lvlText w:val="%1."/>
      <w:lvlJc w:val="left"/>
      <w:pPr>
        <w:tabs>
          <w:tab w:val="left" w:pos="312"/>
        </w:tabs>
      </w:pPr>
    </w:lvl>
  </w:abstractNum>
  <w:abstractNum w:abstractNumId="7">
    <w:nsid w:val="1BADD652"/>
    <w:multiLevelType w:val="singleLevel"/>
    <w:tmpl w:val="1BADD652"/>
    <w:lvl w:ilvl="0" w:tentative="0">
      <w:start w:val="4"/>
      <w:numFmt w:val="chineseCounting"/>
      <w:suff w:val="nothing"/>
      <w:lvlText w:val="%1、"/>
      <w:lvlJc w:val="left"/>
      <w:rPr>
        <w:rFonts w:hint="eastAsia"/>
      </w:rPr>
    </w:lvl>
  </w:abstractNum>
  <w:abstractNum w:abstractNumId="8">
    <w:nsid w:val="247035EA"/>
    <w:multiLevelType w:val="singleLevel"/>
    <w:tmpl w:val="247035EA"/>
    <w:lvl w:ilvl="0" w:tentative="0">
      <w:start w:val="1"/>
      <w:numFmt w:val="decimal"/>
      <w:lvlText w:val="%1."/>
      <w:lvlJc w:val="left"/>
      <w:pPr>
        <w:tabs>
          <w:tab w:val="left" w:pos="312"/>
        </w:tabs>
      </w:pPr>
    </w:lvl>
  </w:abstractNum>
  <w:abstractNum w:abstractNumId="9">
    <w:nsid w:val="395E672B"/>
    <w:multiLevelType w:val="singleLevel"/>
    <w:tmpl w:val="395E672B"/>
    <w:lvl w:ilvl="0" w:tentative="0">
      <w:start w:val="1"/>
      <w:numFmt w:val="decimal"/>
      <w:lvlText w:val="%1."/>
      <w:lvlJc w:val="left"/>
      <w:pPr>
        <w:tabs>
          <w:tab w:val="left" w:pos="312"/>
        </w:tabs>
      </w:pPr>
    </w:lvl>
  </w:abstractNum>
  <w:abstractNum w:abstractNumId="10">
    <w:nsid w:val="52E14DCC"/>
    <w:multiLevelType w:val="singleLevel"/>
    <w:tmpl w:val="52E14DCC"/>
    <w:lvl w:ilvl="0" w:tentative="0">
      <w:start w:val="2"/>
      <w:numFmt w:val="decimal"/>
      <w:lvlText w:val="%1."/>
      <w:lvlJc w:val="left"/>
      <w:pPr>
        <w:tabs>
          <w:tab w:val="left" w:pos="312"/>
        </w:tabs>
      </w:pPr>
    </w:lvl>
  </w:abstractNum>
  <w:abstractNum w:abstractNumId="11">
    <w:nsid w:val="65E7EB0C"/>
    <w:multiLevelType w:val="singleLevel"/>
    <w:tmpl w:val="65E7EB0C"/>
    <w:lvl w:ilvl="0" w:tentative="0">
      <w:start w:val="1"/>
      <w:numFmt w:val="decimal"/>
      <w:lvlText w:val="%1."/>
      <w:lvlJc w:val="left"/>
      <w:pPr>
        <w:tabs>
          <w:tab w:val="left" w:pos="312"/>
        </w:tabs>
      </w:pPr>
    </w:lvl>
  </w:abstractNum>
  <w:num w:numId="1">
    <w:abstractNumId w:val="10"/>
  </w:num>
  <w:num w:numId="2">
    <w:abstractNumId w:val="7"/>
  </w:num>
  <w:num w:numId="3">
    <w:abstractNumId w:val="9"/>
  </w:num>
  <w:num w:numId="4">
    <w:abstractNumId w:val="5"/>
  </w:num>
  <w:num w:numId="5">
    <w:abstractNumId w:val="1"/>
  </w:num>
  <w:num w:numId="6">
    <w:abstractNumId w:val="0"/>
  </w:num>
  <w:num w:numId="7">
    <w:abstractNumId w:val="8"/>
  </w:num>
  <w:num w:numId="8">
    <w:abstractNumId w:val="6"/>
  </w:num>
  <w:num w:numId="9">
    <w:abstractNumId w:val="4"/>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zZWIxNGQxM2RjMWI4NjY1YzQwZjliNmUwYTY0MzM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A23E3"/>
    <w:rsid w:val="00EF44B1"/>
    <w:rsid w:val="00F35AA0"/>
    <w:rsid w:val="016E63C2"/>
    <w:rsid w:val="021963D7"/>
    <w:rsid w:val="024B0C39"/>
    <w:rsid w:val="0250441F"/>
    <w:rsid w:val="028044A6"/>
    <w:rsid w:val="0320601C"/>
    <w:rsid w:val="03D76B18"/>
    <w:rsid w:val="03FC4D67"/>
    <w:rsid w:val="070F3B51"/>
    <w:rsid w:val="0836015E"/>
    <w:rsid w:val="087C47B4"/>
    <w:rsid w:val="092E7BB3"/>
    <w:rsid w:val="0A1805BE"/>
    <w:rsid w:val="0A8128A6"/>
    <w:rsid w:val="0AE074A7"/>
    <w:rsid w:val="0B5051D0"/>
    <w:rsid w:val="0BF32A1B"/>
    <w:rsid w:val="0C3B03C9"/>
    <w:rsid w:val="0C9E7FE7"/>
    <w:rsid w:val="0D0201FA"/>
    <w:rsid w:val="0EB32C5C"/>
    <w:rsid w:val="0F510975"/>
    <w:rsid w:val="0F8B1E8E"/>
    <w:rsid w:val="10BD2C22"/>
    <w:rsid w:val="110B36E1"/>
    <w:rsid w:val="11AB6BCE"/>
    <w:rsid w:val="11DD3DE5"/>
    <w:rsid w:val="13436D74"/>
    <w:rsid w:val="15216997"/>
    <w:rsid w:val="16DA3851"/>
    <w:rsid w:val="1C4E2365"/>
    <w:rsid w:val="1CE67C05"/>
    <w:rsid w:val="1D32570E"/>
    <w:rsid w:val="1D7F48D5"/>
    <w:rsid w:val="1EF05686"/>
    <w:rsid w:val="1F0423C1"/>
    <w:rsid w:val="1F223A39"/>
    <w:rsid w:val="1F8E7002"/>
    <w:rsid w:val="1FE12702"/>
    <w:rsid w:val="22112913"/>
    <w:rsid w:val="22987C80"/>
    <w:rsid w:val="22CA6537"/>
    <w:rsid w:val="22DE464E"/>
    <w:rsid w:val="24192CCC"/>
    <w:rsid w:val="24371604"/>
    <w:rsid w:val="2488753D"/>
    <w:rsid w:val="294A4353"/>
    <w:rsid w:val="29C72969"/>
    <w:rsid w:val="2A12565D"/>
    <w:rsid w:val="2A872BE4"/>
    <w:rsid w:val="2AFA0B1C"/>
    <w:rsid w:val="2F2143BE"/>
    <w:rsid w:val="2F663D3E"/>
    <w:rsid w:val="2FC438F9"/>
    <w:rsid w:val="308B4B5E"/>
    <w:rsid w:val="324936A6"/>
    <w:rsid w:val="32833F5C"/>
    <w:rsid w:val="33CE08A6"/>
    <w:rsid w:val="39A66CD4"/>
    <w:rsid w:val="39F72D96"/>
    <w:rsid w:val="3CD52CE1"/>
    <w:rsid w:val="3DA637E2"/>
    <w:rsid w:val="3FC07AC9"/>
    <w:rsid w:val="3FF869EE"/>
    <w:rsid w:val="3FFC1E41"/>
    <w:rsid w:val="40AB591A"/>
    <w:rsid w:val="40F469FC"/>
    <w:rsid w:val="410F2E6A"/>
    <w:rsid w:val="41877203"/>
    <w:rsid w:val="42911EC0"/>
    <w:rsid w:val="4430136C"/>
    <w:rsid w:val="46E5771F"/>
    <w:rsid w:val="471A4106"/>
    <w:rsid w:val="47B3726F"/>
    <w:rsid w:val="47F81429"/>
    <w:rsid w:val="48B12769"/>
    <w:rsid w:val="4AB0382B"/>
    <w:rsid w:val="4C465379"/>
    <w:rsid w:val="4D6F2AFC"/>
    <w:rsid w:val="4E5E51CA"/>
    <w:rsid w:val="50535A41"/>
    <w:rsid w:val="507A334C"/>
    <w:rsid w:val="512E52D0"/>
    <w:rsid w:val="516D6CE2"/>
    <w:rsid w:val="51803E81"/>
    <w:rsid w:val="520C46F4"/>
    <w:rsid w:val="562644E6"/>
    <w:rsid w:val="569868B5"/>
    <w:rsid w:val="56EA7EED"/>
    <w:rsid w:val="575561C5"/>
    <w:rsid w:val="589E6B2B"/>
    <w:rsid w:val="5AC661A1"/>
    <w:rsid w:val="5B137015"/>
    <w:rsid w:val="5B4F61DD"/>
    <w:rsid w:val="5C1E2941"/>
    <w:rsid w:val="5F501F38"/>
    <w:rsid w:val="611F6817"/>
    <w:rsid w:val="62AA216C"/>
    <w:rsid w:val="64406DBD"/>
    <w:rsid w:val="650E0CB8"/>
    <w:rsid w:val="65144BBF"/>
    <w:rsid w:val="66CA1754"/>
    <w:rsid w:val="67E0637A"/>
    <w:rsid w:val="67E35CD2"/>
    <w:rsid w:val="68554F54"/>
    <w:rsid w:val="695D521F"/>
    <w:rsid w:val="69726A06"/>
    <w:rsid w:val="6A24028E"/>
    <w:rsid w:val="6A6E568B"/>
    <w:rsid w:val="6B2D2FCD"/>
    <w:rsid w:val="6BB46E75"/>
    <w:rsid w:val="6D2D2274"/>
    <w:rsid w:val="6D827299"/>
    <w:rsid w:val="6D8F651E"/>
    <w:rsid w:val="6DEC7C7C"/>
    <w:rsid w:val="6EB37144"/>
    <w:rsid w:val="6F1E65D4"/>
    <w:rsid w:val="6F266C86"/>
    <w:rsid w:val="6F5042C2"/>
    <w:rsid w:val="70064BC6"/>
    <w:rsid w:val="71C47EB4"/>
    <w:rsid w:val="71E44AA0"/>
    <w:rsid w:val="721F78E8"/>
    <w:rsid w:val="72B26B11"/>
    <w:rsid w:val="72C01501"/>
    <w:rsid w:val="7352461E"/>
    <w:rsid w:val="739E3A93"/>
    <w:rsid w:val="74316312"/>
    <w:rsid w:val="757C53B3"/>
    <w:rsid w:val="75A55FF5"/>
    <w:rsid w:val="75E20E94"/>
    <w:rsid w:val="76D07006"/>
    <w:rsid w:val="780F13C8"/>
    <w:rsid w:val="782009DD"/>
    <w:rsid w:val="7C385448"/>
    <w:rsid w:val="7CB3663D"/>
    <w:rsid w:val="7F4D65B5"/>
    <w:rsid w:val="7F792353"/>
    <w:rsid w:val="7FEF1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3071</Words>
  <Characters>3240</Characters>
  <Lines>13</Lines>
  <Paragraphs>3</Paragraphs>
  <TotalTime>1</TotalTime>
  <ScaleCrop>false</ScaleCrop>
  <LinksUpToDate>false</LinksUpToDate>
  <CharactersWithSpaces>3296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52542</cp:lastModifiedBy>
  <dcterms:modified xsi:type="dcterms:W3CDTF">2023-05-31T12:49:57Z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1CAE0297DAFF44F18E49F19DFAF78855</vt:lpwstr>
  </property>
</Properties>
</file>