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2B" w:rsidRDefault="00176E59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176E5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20222B" w:rsidRDefault="00F63D4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p w:rsidR="0020222B" w:rsidRDefault="00F63D44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       </w:t>
      </w:r>
      <w:r w:rsidRPr="003C38AD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通识</w:t>
      </w:r>
      <w:proofErr w:type="gramStart"/>
      <w:r w:rsidRPr="003C38AD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课</w:t>
      </w:r>
      <w:proofErr w:type="gramEnd"/>
      <w:r w:rsidRPr="003C38AD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课程</w:t>
      </w:r>
      <w:r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教学大纲模板</w:t>
      </w:r>
      <w:r>
        <w:rPr>
          <w:rFonts w:ascii="方正小标宋简体" w:hAnsi="宋体" w:hint="eastAsia"/>
          <w:bCs/>
          <w:kern w:val="0"/>
          <w:sz w:val="24"/>
          <w:szCs w:val="24"/>
        </w:rPr>
        <w:t>（</w:t>
      </w:r>
      <w:r>
        <w:rPr>
          <w:rFonts w:hint="eastAsia"/>
          <w:sz w:val="32"/>
          <w:szCs w:val="32"/>
        </w:rPr>
        <w:t>2017.6.30</w:t>
      </w:r>
      <w:r>
        <w:rPr>
          <w:rFonts w:hint="eastAsia"/>
          <w:sz w:val="32"/>
          <w:szCs w:val="32"/>
        </w:rPr>
        <w:t>版</w:t>
      </w:r>
      <w:r>
        <w:rPr>
          <w:rFonts w:ascii="方正小标宋简体" w:hAnsi="宋体" w:hint="eastAsia"/>
          <w:bCs/>
          <w:kern w:val="0"/>
          <w:sz w:val="24"/>
          <w:szCs w:val="24"/>
        </w:rPr>
        <w:t>）</w:t>
      </w:r>
    </w:p>
    <w:p w:rsidR="0020222B" w:rsidRDefault="00F63D44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【大航海与全球化】</w:t>
      </w:r>
    </w:p>
    <w:p w:rsidR="0020222B" w:rsidRDefault="00F63D4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G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reat 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G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eographical 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>D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iscoveries</w:t>
      </w:r>
      <w:r>
        <w:rPr>
          <w:rFonts w:ascii="Times New Roman" w:hAnsi="Times New Roman" w:hint="eastAsia"/>
          <w:color w:val="000000" w:themeColor="text1"/>
          <w:sz w:val="24"/>
          <w:szCs w:val="24"/>
          <w:shd w:val="clear" w:color="auto" w:fill="FFFFFF"/>
        </w:rPr>
        <w:t xml:space="preserve"> and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Globalization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20222B" w:rsidRDefault="00F63D44" w:rsidP="00F63D44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20222B" w:rsidRDefault="00F63D4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hyperlink r:id="rId8" w:tgtFrame="_blank" w:history="1">
        <w:r w:rsidRPr="00F63D44">
          <w:rPr>
            <w:rFonts w:ascii="Times New Roman" w:hAnsi="Times New Roman" w:hint="eastAsia"/>
            <w:color w:val="000000"/>
            <w:sz w:val="20"/>
            <w:szCs w:val="20"/>
          </w:rPr>
          <w:t>2138032</w:t>
        </w:r>
      </w:hyperlink>
      <w:r>
        <w:rPr>
          <w:color w:val="000000"/>
          <w:sz w:val="20"/>
          <w:szCs w:val="20"/>
        </w:rPr>
        <w:t>】</w:t>
      </w:r>
    </w:p>
    <w:p w:rsidR="0020222B" w:rsidRDefault="00F63D4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Times New Roman" w:hAnsi="Times New Roman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:rsidR="0020222B" w:rsidRDefault="00F63D4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全体在校生</w:t>
      </w:r>
      <w:r>
        <w:rPr>
          <w:color w:val="000000"/>
          <w:sz w:val="20"/>
          <w:szCs w:val="20"/>
        </w:rPr>
        <w:t>】</w:t>
      </w:r>
    </w:p>
    <w:p w:rsidR="0020222B" w:rsidRDefault="00F63D4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综合素质选修课</w:t>
      </w:r>
      <w:r>
        <w:rPr>
          <w:color w:val="000000"/>
          <w:sz w:val="20"/>
          <w:szCs w:val="20"/>
        </w:rPr>
        <w:t>】</w:t>
      </w:r>
    </w:p>
    <w:p w:rsidR="0020222B" w:rsidRDefault="00F63D44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</w:p>
    <w:p w:rsidR="0020222B" w:rsidRDefault="00F63D4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20222B" w:rsidRDefault="00F63D44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教材【无】</w:t>
      </w:r>
      <w:bookmarkStart w:id="1" w:name="_GoBack"/>
      <w:bookmarkEnd w:id="1"/>
    </w:p>
    <w:p w:rsidR="0020222B" w:rsidRDefault="00F63D44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color w:val="000000"/>
          <w:sz w:val="20"/>
          <w:szCs w:val="20"/>
          <w:highlight w:val="yellow"/>
        </w:rPr>
        <w:t>参考</w:t>
      </w:r>
      <w:r>
        <w:rPr>
          <w:rFonts w:hint="eastAsia"/>
          <w:color w:val="000000"/>
          <w:sz w:val="20"/>
          <w:szCs w:val="20"/>
          <w:highlight w:val="yellow"/>
        </w:rPr>
        <w:t>书目</w:t>
      </w:r>
      <w:r>
        <w:rPr>
          <w:color w:val="000000"/>
          <w:sz w:val="20"/>
          <w:szCs w:val="20"/>
          <w:highlight w:val="yellow"/>
        </w:rPr>
        <w:t>【</w:t>
      </w:r>
      <w:r>
        <w:rPr>
          <w:rFonts w:asciiTheme="majorEastAsia" w:eastAsiaTheme="majorEastAsia" w:hAnsiTheme="majorEastAsia" w:cstheme="majorEastAsia" w:hint="eastAsia"/>
          <w:color w:val="000000"/>
          <w:sz w:val="20"/>
          <w:szCs w:val="20"/>
          <w:highlight w:val="yellow"/>
        </w:rPr>
        <w:t>[</w:t>
      </w:r>
      <w:r>
        <w:rPr>
          <w:rFonts w:asciiTheme="majorEastAsia" w:eastAsiaTheme="majorEastAsia" w:hAnsiTheme="majorEastAsia" w:cstheme="majorEastAsia" w:hint="eastAsia"/>
          <w:color w:val="000000"/>
          <w:sz w:val="20"/>
          <w:szCs w:val="20"/>
          <w:highlight w:val="yellow"/>
        </w:rPr>
        <w:t>法</w:t>
      </w:r>
      <w:r>
        <w:rPr>
          <w:rFonts w:asciiTheme="majorEastAsia" w:eastAsiaTheme="majorEastAsia" w:hAnsiTheme="majorEastAsia" w:cstheme="majorEastAsia" w:hint="eastAsia"/>
          <w:color w:val="000000"/>
          <w:sz w:val="20"/>
          <w:szCs w:val="20"/>
          <w:highlight w:val="yellow"/>
        </w:rPr>
        <w:t>]</w:t>
      </w:r>
      <w:r>
        <w:rPr>
          <w:rFonts w:hint="eastAsia"/>
          <w:color w:val="000000"/>
          <w:sz w:val="20"/>
          <w:szCs w:val="20"/>
          <w:highlight w:val="yellow"/>
        </w:rPr>
        <w:t>费尔南·布罗代尔：《文明史》，常绍民等译，中信出版社，</w:t>
      </w:r>
      <w:r>
        <w:rPr>
          <w:rFonts w:ascii="Times New Roman" w:hAnsi="Times New Roman"/>
          <w:color w:val="000000"/>
          <w:sz w:val="20"/>
          <w:szCs w:val="20"/>
          <w:highlight w:val="yellow"/>
        </w:rPr>
        <w:t>2014</w:t>
      </w:r>
      <w:r>
        <w:rPr>
          <w:rFonts w:hint="eastAsia"/>
          <w:color w:val="000000"/>
          <w:sz w:val="20"/>
          <w:szCs w:val="20"/>
          <w:highlight w:val="yellow"/>
        </w:rPr>
        <w:t>；</w:t>
      </w:r>
      <w:r>
        <w:rPr>
          <w:rFonts w:asciiTheme="majorEastAsia" w:eastAsiaTheme="majorEastAsia" w:hAnsiTheme="majorEastAsia" w:cstheme="majorEastAsia" w:hint="eastAsia"/>
          <w:color w:val="000000"/>
          <w:sz w:val="20"/>
          <w:szCs w:val="20"/>
          <w:highlight w:val="yellow"/>
        </w:rPr>
        <w:t>[</w:t>
      </w:r>
      <w:r>
        <w:rPr>
          <w:rFonts w:asciiTheme="majorEastAsia" w:eastAsiaTheme="majorEastAsia" w:hAnsiTheme="majorEastAsia" w:cstheme="majorEastAsia" w:hint="eastAsia"/>
          <w:color w:val="000000"/>
          <w:sz w:val="20"/>
          <w:szCs w:val="20"/>
          <w:highlight w:val="yellow"/>
        </w:rPr>
        <w:t>美</w:t>
      </w:r>
      <w:r>
        <w:rPr>
          <w:rFonts w:asciiTheme="majorEastAsia" w:eastAsiaTheme="majorEastAsia" w:hAnsiTheme="majorEastAsia" w:cstheme="majorEastAsia" w:hint="eastAsia"/>
          <w:color w:val="000000"/>
          <w:sz w:val="20"/>
          <w:szCs w:val="20"/>
          <w:highlight w:val="yellow"/>
        </w:rPr>
        <w:t>]</w:t>
      </w:r>
      <w:r>
        <w:rPr>
          <w:rFonts w:hint="eastAsia"/>
          <w:color w:val="000000"/>
          <w:sz w:val="20"/>
          <w:szCs w:val="20"/>
          <w:highlight w:val="yellow"/>
        </w:rPr>
        <w:t>雅克·巴尔赞：《从黎明到衰落：西方文化生活五百年，</w:t>
      </w:r>
      <w:r>
        <w:rPr>
          <w:rFonts w:ascii="Times New Roman" w:hAnsi="Times New Roman"/>
          <w:color w:val="000000"/>
          <w:sz w:val="20"/>
          <w:szCs w:val="20"/>
          <w:highlight w:val="yellow"/>
        </w:rPr>
        <w:t>1500</w:t>
      </w:r>
      <w:r>
        <w:rPr>
          <w:rFonts w:hint="eastAsia"/>
          <w:color w:val="000000"/>
          <w:sz w:val="20"/>
          <w:szCs w:val="20"/>
          <w:highlight w:val="yellow"/>
        </w:rPr>
        <w:t>年至今》，林华译，中信出版社，</w:t>
      </w:r>
      <w:r>
        <w:rPr>
          <w:rFonts w:ascii="Times New Roman" w:hAnsi="Times New Roman"/>
          <w:color w:val="000000"/>
          <w:sz w:val="20"/>
          <w:szCs w:val="20"/>
          <w:highlight w:val="yellow"/>
        </w:rPr>
        <w:t>2013</w:t>
      </w:r>
      <w:r>
        <w:rPr>
          <w:rFonts w:hint="eastAsia"/>
          <w:color w:val="000000"/>
          <w:sz w:val="20"/>
          <w:szCs w:val="20"/>
          <w:highlight w:val="yellow"/>
        </w:rPr>
        <w:t>；维基百科；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  <w:highlight w:val="yellow"/>
        </w:rPr>
        <w:t>[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  <w:highlight w:val="yellow"/>
        </w:rPr>
        <w:t>英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  <w:highlight w:val="yellow"/>
        </w:rPr>
        <w:t>]</w:t>
      </w:r>
      <w:r>
        <w:rPr>
          <w:rFonts w:ascii="Times New Roman" w:eastAsiaTheme="minorEastAsia" w:hAnsi="Times New Roman"/>
          <w:color w:val="000000"/>
          <w:sz w:val="20"/>
          <w:szCs w:val="20"/>
          <w:highlight w:val="yellow"/>
        </w:rPr>
        <w:t>J</w:t>
      </w:r>
      <w:r>
        <w:rPr>
          <w:rFonts w:ascii="Times New Roman" w:hAnsi="Times New Roman"/>
          <w:color w:val="000000"/>
          <w:sz w:val="20"/>
          <w:szCs w:val="20"/>
          <w:highlight w:val="yellow"/>
        </w:rPr>
        <w:t>.M.</w:t>
      </w:r>
      <w:r>
        <w:rPr>
          <w:rFonts w:hint="eastAsia"/>
          <w:color w:val="000000"/>
          <w:sz w:val="20"/>
          <w:szCs w:val="20"/>
          <w:highlight w:val="yellow"/>
        </w:rPr>
        <w:t>罗伯茨：《全球史》（上下），陈恒、黄公夏、黎海波等译，中国出版集团东方出版中心，</w:t>
      </w:r>
      <w:r>
        <w:rPr>
          <w:rFonts w:ascii="Times New Roman" w:hAnsi="Times New Roman"/>
          <w:color w:val="000000"/>
          <w:sz w:val="20"/>
          <w:szCs w:val="20"/>
          <w:highlight w:val="yellow"/>
        </w:rPr>
        <w:t>2013</w:t>
      </w:r>
      <w:r>
        <w:rPr>
          <w:color w:val="000000"/>
          <w:sz w:val="20"/>
          <w:szCs w:val="20"/>
          <w:highlight w:val="yellow"/>
        </w:rPr>
        <w:t>】</w:t>
      </w:r>
    </w:p>
    <w:p w:rsidR="0020222B" w:rsidRDefault="00F63D44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课程网站网址：</w:t>
      </w:r>
    </w:p>
    <w:p w:rsidR="0020222B" w:rsidRDefault="00F63D44">
      <w:pPr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  <w:highlight w:val="yellow"/>
        </w:rPr>
      </w:pPr>
      <w:r>
        <w:rPr>
          <w:rFonts w:ascii="Times New Roman" w:hAnsi="Times New Roman"/>
          <w:color w:val="000000"/>
          <w:sz w:val="20"/>
          <w:szCs w:val="20"/>
        </w:rPr>
        <w:t>https://elearning.gench.edu.cn:8443/webapps/blackboard/execute/modulepage/view?course_id=_5637_1&amp;cmp_tab_id=_5917_1&amp;editMode=true&amp;mode=cpview</w:t>
      </w:r>
    </w:p>
    <w:p w:rsidR="0020222B" w:rsidRDefault="00F63D44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【无】</w:t>
      </w:r>
    </w:p>
    <w:p w:rsidR="0020222B" w:rsidRDefault="00F63D44" w:rsidP="00F63D44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20222B" w:rsidRDefault="00F63D4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300-400</w:t>
      </w:r>
      <w:r>
        <w:rPr>
          <w:rFonts w:hint="eastAsia"/>
          <w:color w:val="000000"/>
          <w:sz w:val="20"/>
          <w:szCs w:val="20"/>
        </w:rPr>
        <w:t>字）</w:t>
      </w:r>
    </w:p>
    <w:p w:rsidR="0020222B" w:rsidRDefault="0020222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0222B" w:rsidRDefault="00F63D4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本课程将</w:t>
      </w:r>
      <w:r>
        <w:rPr>
          <w:rFonts w:ascii="Times New Roman" w:hAnsi="Times New Roman"/>
          <w:color w:val="000000"/>
          <w:sz w:val="20"/>
          <w:szCs w:val="20"/>
        </w:rPr>
        <w:t>1500</w:t>
      </w:r>
      <w:r>
        <w:rPr>
          <w:rFonts w:hint="eastAsia"/>
          <w:color w:val="000000"/>
          <w:sz w:val="20"/>
          <w:szCs w:val="20"/>
        </w:rPr>
        <w:t>年后的人类文明史归纳为“大航海时代”“文艺复兴”“宗教改革”三个主要单元，以“大航海”贯穿整个课程，</w:t>
      </w:r>
      <w:r>
        <w:rPr>
          <w:rFonts w:hint="eastAsia"/>
          <w:color w:val="000000"/>
          <w:sz w:val="20"/>
          <w:szCs w:val="20"/>
        </w:rPr>
        <w:t>介绍每个单元中的重大历史事件，主要历史人物，对人类社会产生深远影响的发明、著作、思想观念等；以西欧文明为主要对象，探讨“全球化”的过程与内涵，厘清欧、亚、非、美洲不同文明间发展、交往、相互作用的线索与成果；让听课者能够较为完整、清晰地了解“今日的世界何以形成”。</w:t>
      </w:r>
    </w:p>
    <w:p w:rsidR="0020222B" w:rsidRDefault="00F63D44" w:rsidP="00F63D4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20222B" w:rsidRDefault="00F63D4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:rsidR="0020222B" w:rsidRDefault="0020222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0222B" w:rsidRDefault="00F63D4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建议对近代早期西方文明感兴趣的学生选修该课程。</w:t>
      </w:r>
    </w:p>
    <w:p w:rsidR="0020222B" w:rsidRDefault="0020222B"/>
    <w:p w:rsidR="0020222B" w:rsidRDefault="00F63D44" w:rsidP="00F63D4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四、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</w:t>
      </w:r>
      <w:r>
        <w:rPr>
          <w:rFonts w:ascii="黑体" w:eastAsia="黑体" w:hAnsi="宋体" w:hint="eastAsia"/>
          <w:sz w:val="24"/>
          <w:highlight w:val="yellow"/>
        </w:rPr>
        <w:t>/</w:t>
      </w:r>
      <w:r>
        <w:rPr>
          <w:rFonts w:ascii="黑体" w:eastAsia="黑体" w:hAnsi="宋体" w:hint="eastAsia"/>
          <w:sz w:val="24"/>
          <w:highlight w:val="yellow"/>
        </w:rPr>
        <w:t>课程预期学习成果</w:t>
      </w:r>
      <w:r>
        <w:rPr>
          <w:rFonts w:ascii="黑体" w:eastAsia="黑体" w:hAnsi="宋体"/>
          <w:sz w:val="24"/>
          <w:highlight w:val="yellow"/>
        </w:rPr>
        <w:t>（必填项）（</w:t>
      </w:r>
      <w:r>
        <w:rPr>
          <w:rFonts w:ascii="黑体" w:eastAsia="黑体" w:hAnsi="宋体" w:hint="eastAsia"/>
          <w:sz w:val="24"/>
          <w:highlight w:val="yellow"/>
        </w:rPr>
        <w:t>预期学习成果</w:t>
      </w:r>
      <w:r>
        <w:rPr>
          <w:rFonts w:ascii="黑体" w:eastAsia="黑体" w:hAnsi="宋体"/>
          <w:sz w:val="24"/>
          <w:highlight w:val="yellow"/>
        </w:rPr>
        <w:t>要可测量</w:t>
      </w:r>
      <w:r>
        <w:rPr>
          <w:rFonts w:ascii="黑体" w:eastAsia="黑体" w:hAnsi="宋体"/>
          <w:sz w:val="24"/>
          <w:highlight w:val="yellow"/>
        </w:rPr>
        <w:t>/</w:t>
      </w:r>
      <w:r>
        <w:rPr>
          <w:rFonts w:ascii="黑体" w:eastAsia="黑体" w:hAnsi="宋体"/>
          <w:sz w:val="24"/>
          <w:highlight w:val="yellow"/>
        </w:rPr>
        <w:t>能够证明）</w:t>
      </w:r>
    </w:p>
    <w:p w:rsidR="0020222B" w:rsidRDefault="00F63D44">
      <w:pPr>
        <w:spacing w:line="360" w:lineRule="auto"/>
        <w:ind w:firstLineChars="250" w:firstLine="500"/>
        <w:rPr>
          <w:color w:val="FF0000"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</w:t>
      </w:r>
      <w:r>
        <w:rPr>
          <w:rFonts w:hint="eastAsia"/>
          <w:bCs/>
          <w:sz w:val="20"/>
          <w:szCs w:val="20"/>
          <w:highlight w:val="yellow"/>
        </w:rPr>
        <w:t>点，只写三级编码即可。“课程目标”这列要写清楚细化</w:t>
      </w:r>
      <w:r>
        <w:rPr>
          <w:rFonts w:hint="eastAsia"/>
          <w:bCs/>
          <w:sz w:val="20"/>
          <w:szCs w:val="20"/>
          <w:highlight w:val="yellow"/>
        </w:rPr>
        <w:lastRenderedPageBreak/>
        <w:t>的预期学习成果，撰写时必须用适当的行为动词引导。</w:t>
      </w:r>
    </w:p>
    <w:tbl>
      <w:tblPr>
        <w:tblStyle w:val="a6"/>
        <w:tblW w:w="8522" w:type="dxa"/>
        <w:tblLayout w:type="fixed"/>
        <w:tblLook w:val="04A0"/>
      </w:tblPr>
      <w:tblGrid>
        <w:gridCol w:w="534"/>
        <w:gridCol w:w="1842"/>
        <w:gridCol w:w="4015"/>
        <w:gridCol w:w="2131"/>
      </w:tblGrid>
      <w:tr w:rsidR="0020222B">
        <w:tc>
          <w:tcPr>
            <w:tcW w:w="534" w:type="dxa"/>
          </w:tcPr>
          <w:p w:rsidR="0020222B" w:rsidRDefault="00F63D4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842" w:type="dxa"/>
          </w:tcPr>
          <w:p w:rsidR="0020222B" w:rsidRDefault="00F63D4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20222B" w:rsidRDefault="00F63D4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学习成果（填写有对应性的代码）</w:t>
            </w:r>
          </w:p>
        </w:tc>
        <w:tc>
          <w:tcPr>
            <w:tcW w:w="4015" w:type="dxa"/>
            <w:vAlign w:val="center"/>
          </w:tcPr>
          <w:p w:rsidR="0020222B" w:rsidRDefault="00F63D4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2131" w:type="dxa"/>
            <w:vAlign w:val="center"/>
          </w:tcPr>
          <w:p w:rsidR="0020222B" w:rsidRDefault="00F63D4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20222B">
        <w:tc>
          <w:tcPr>
            <w:tcW w:w="534" w:type="dxa"/>
          </w:tcPr>
          <w:p w:rsidR="0020222B" w:rsidRDefault="00F63D4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20222B" w:rsidRDefault="00F63D4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aps/>
                <w:color w:val="000000"/>
                <w:kern w:val="0"/>
                <w:sz w:val="20"/>
                <w:szCs w:val="20"/>
              </w:rPr>
              <w:t>LO1</w:t>
            </w:r>
            <w:r>
              <w:rPr>
                <w:rFonts w:ascii="宋体" w:hAnsi="宋体" w:hint="eastAsia"/>
                <w:bCs/>
                <w:caps/>
                <w:color w:val="000000"/>
                <w:kern w:val="0"/>
                <w:sz w:val="20"/>
                <w:szCs w:val="20"/>
              </w:rPr>
              <w:t>：表达沟通</w:t>
            </w:r>
          </w:p>
        </w:tc>
        <w:tc>
          <w:tcPr>
            <w:tcW w:w="4015" w:type="dxa"/>
            <w:vAlign w:val="center"/>
          </w:tcPr>
          <w:p w:rsidR="0020222B" w:rsidRDefault="00F63D4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根据讲课内容提开放性问题，引导学生讨论</w:t>
            </w:r>
          </w:p>
        </w:tc>
        <w:tc>
          <w:tcPr>
            <w:tcW w:w="2131" w:type="dxa"/>
            <w:vAlign w:val="center"/>
          </w:tcPr>
          <w:p w:rsidR="0020222B" w:rsidRDefault="00F63D4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课堂互动</w:t>
            </w:r>
          </w:p>
        </w:tc>
      </w:tr>
      <w:tr w:rsidR="0020222B">
        <w:tc>
          <w:tcPr>
            <w:tcW w:w="534" w:type="dxa"/>
          </w:tcPr>
          <w:p w:rsidR="0020222B" w:rsidRDefault="00F63D4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20222B" w:rsidRDefault="00F63D4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aps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ascii="宋体" w:hAnsi="宋体" w:hint="eastAsia"/>
                <w:bCs/>
                <w:caps/>
                <w:color w:val="000000"/>
                <w:kern w:val="0"/>
                <w:sz w:val="20"/>
                <w:szCs w:val="20"/>
              </w:rPr>
              <w:t>：自主学习</w:t>
            </w:r>
          </w:p>
        </w:tc>
        <w:tc>
          <w:tcPr>
            <w:tcW w:w="4015" w:type="dxa"/>
            <w:vAlign w:val="center"/>
          </w:tcPr>
          <w:p w:rsidR="0020222B" w:rsidRDefault="00F63D4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根据教学内容布置自学内容</w:t>
            </w:r>
          </w:p>
        </w:tc>
        <w:tc>
          <w:tcPr>
            <w:tcW w:w="2131" w:type="dxa"/>
            <w:vAlign w:val="center"/>
          </w:tcPr>
          <w:p w:rsidR="0020222B" w:rsidRDefault="00F63D4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课堂互动</w:t>
            </w:r>
          </w:p>
          <w:p w:rsidR="0020222B" w:rsidRDefault="00F63D4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日常作业</w:t>
            </w:r>
          </w:p>
        </w:tc>
      </w:tr>
      <w:tr w:rsidR="0020222B">
        <w:tc>
          <w:tcPr>
            <w:tcW w:w="534" w:type="dxa"/>
          </w:tcPr>
          <w:p w:rsidR="0020222B" w:rsidRDefault="00F63D4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20222B" w:rsidRDefault="00F63D44">
            <w:pPr>
              <w:widowControl/>
              <w:spacing w:before="120" w:after="120"/>
              <w:jc w:val="center"/>
              <w:rPr>
                <w:rFonts w:ascii="宋体" w:hAnsi="宋体"/>
                <w:bCs/>
                <w:cap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aps/>
                <w:color w:val="000000"/>
                <w:kern w:val="0"/>
                <w:sz w:val="20"/>
                <w:szCs w:val="20"/>
              </w:rPr>
              <w:t>LO6</w:t>
            </w:r>
            <w:r>
              <w:rPr>
                <w:rFonts w:ascii="宋体" w:hAnsi="宋体" w:hint="eastAsia"/>
                <w:bCs/>
                <w:caps/>
                <w:color w:val="000000"/>
                <w:kern w:val="0"/>
                <w:sz w:val="20"/>
                <w:szCs w:val="20"/>
              </w:rPr>
              <w:t>：信息应用</w:t>
            </w:r>
          </w:p>
        </w:tc>
        <w:tc>
          <w:tcPr>
            <w:tcW w:w="4015" w:type="dxa"/>
            <w:vAlign w:val="center"/>
          </w:tcPr>
          <w:p w:rsidR="0020222B" w:rsidRDefault="00F63D44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讲解“中知网”等数据库查找方式，使学生能够搜集相应资料，完成作业</w:t>
            </w:r>
          </w:p>
        </w:tc>
        <w:tc>
          <w:tcPr>
            <w:tcW w:w="2131" w:type="dxa"/>
            <w:vAlign w:val="center"/>
          </w:tcPr>
          <w:p w:rsidR="0020222B" w:rsidRDefault="00F63D4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日常作业</w:t>
            </w:r>
          </w:p>
        </w:tc>
      </w:tr>
      <w:tr w:rsidR="0020222B">
        <w:tc>
          <w:tcPr>
            <w:tcW w:w="534" w:type="dxa"/>
          </w:tcPr>
          <w:p w:rsidR="0020222B" w:rsidRDefault="00F63D4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20222B" w:rsidRDefault="00F63D44">
            <w:pPr>
              <w:widowControl/>
              <w:spacing w:before="120" w:after="120"/>
              <w:jc w:val="center"/>
              <w:rPr>
                <w:rFonts w:ascii="宋体" w:hAnsi="宋体"/>
                <w:bCs/>
                <w:cap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aps/>
                <w:color w:val="000000"/>
                <w:kern w:val="0"/>
                <w:sz w:val="20"/>
                <w:szCs w:val="20"/>
              </w:rPr>
              <w:t>LO8</w:t>
            </w:r>
            <w:r>
              <w:rPr>
                <w:rFonts w:ascii="宋体" w:hAnsi="宋体" w:hint="eastAsia"/>
                <w:bCs/>
                <w:caps/>
                <w:color w:val="000000"/>
                <w:kern w:val="0"/>
                <w:sz w:val="20"/>
                <w:szCs w:val="20"/>
              </w:rPr>
              <w:t>：国际视野</w:t>
            </w:r>
          </w:p>
        </w:tc>
        <w:tc>
          <w:tcPr>
            <w:tcW w:w="4015" w:type="dxa"/>
            <w:vAlign w:val="center"/>
          </w:tcPr>
          <w:p w:rsidR="0020222B" w:rsidRDefault="00F63D44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通过对近代早期西欧文明的介绍，及与同时期其他文明、现代文明的比较，使学生更为深入地了解古代世界，并在一定程度上具备文化比较的视野</w:t>
            </w:r>
          </w:p>
        </w:tc>
        <w:tc>
          <w:tcPr>
            <w:tcW w:w="2131" w:type="dxa"/>
            <w:vAlign w:val="center"/>
          </w:tcPr>
          <w:p w:rsidR="0020222B" w:rsidRDefault="00F63D4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课堂互动</w:t>
            </w:r>
          </w:p>
          <w:p w:rsidR="0020222B" w:rsidRDefault="00F63D4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日常作业</w:t>
            </w:r>
          </w:p>
        </w:tc>
      </w:tr>
    </w:tbl>
    <w:p w:rsidR="0020222B" w:rsidRDefault="0020222B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20222B" w:rsidRDefault="00F63D44" w:rsidP="00F63D4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课程内容（必填项）</w:t>
      </w:r>
    </w:p>
    <w:p w:rsidR="0020222B" w:rsidRDefault="00F63D4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</w:t>
      </w:r>
      <w:proofErr w:type="gramStart"/>
      <w:r>
        <w:rPr>
          <w:rFonts w:ascii="宋体" w:hAnsi="宋体" w:hint="eastAsia"/>
          <w:sz w:val="20"/>
          <w:szCs w:val="20"/>
        </w:rPr>
        <w:t>姆</w:t>
      </w:r>
      <w:proofErr w:type="gramEnd"/>
      <w:r>
        <w:rPr>
          <w:rFonts w:ascii="宋体" w:hAnsi="宋体" w:hint="eastAsia"/>
          <w:sz w:val="20"/>
          <w:szCs w:val="20"/>
        </w:rPr>
        <w:t>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种层次：</w:t>
      </w: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  <w:highlight w:val="yellow"/>
        </w:rPr>
        <w:t>(</w:t>
      </w:r>
      <w:r>
        <w:rPr>
          <w:rFonts w:ascii="宋体" w:hAnsi="宋体" w:hint="eastAsia"/>
          <w:sz w:val="20"/>
          <w:szCs w:val="20"/>
          <w:highlight w:val="yellow"/>
        </w:rPr>
        <w:t>“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知道”、“理解”、“运用”、“分析”、“综合”、“评价”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能力要求必须选用合适的行为动词来表达。用文字说明教学的难点所在。</w:t>
      </w:r>
    </w:p>
    <w:p w:rsidR="0020222B" w:rsidRDefault="0020222B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20222B" w:rsidRDefault="00F63D44">
      <w:pPr>
        <w:pStyle w:val="a7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大航海时代（</w:t>
      </w:r>
      <w:r>
        <w:rPr>
          <w:rFonts w:ascii="Times New Roman" w:hAnsi="Times New Roman" w:hint="eastAsia"/>
          <w:b/>
          <w:bCs/>
          <w:sz w:val="20"/>
          <w:szCs w:val="20"/>
        </w:rPr>
        <w:t>6</w:t>
      </w:r>
      <w:r>
        <w:rPr>
          <w:rFonts w:ascii="Times New Roman" w:hAnsi="Times New Roman"/>
          <w:b/>
          <w:bCs/>
          <w:sz w:val="20"/>
          <w:szCs w:val="20"/>
        </w:rPr>
        <w:t>课时</w:t>
      </w:r>
      <w:r>
        <w:rPr>
          <w:rFonts w:ascii="宋体" w:hAnsi="宋体" w:hint="eastAsia"/>
          <w:b/>
          <w:bCs/>
          <w:sz w:val="20"/>
          <w:szCs w:val="20"/>
        </w:rPr>
        <w:t>）</w:t>
      </w:r>
    </w:p>
    <w:p w:rsidR="0020222B" w:rsidRDefault="00F63D44">
      <w:pPr>
        <w:pStyle w:val="a7"/>
        <w:numPr>
          <w:ilvl w:val="0"/>
          <w:numId w:val="2"/>
        </w:numPr>
        <w:snapToGrid w:val="0"/>
        <w:spacing w:line="360" w:lineRule="auto"/>
        <w:ind w:firstLineChars="0"/>
        <w:rPr>
          <w:rFonts w:ascii="宋体" w:hAnsi="宋体"/>
          <w:b/>
          <w:bCs/>
          <w:sz w:val="20"/>
          <w:szCs w:val="20"/>
        </w:rPr>
      </w:pPr>
      <w:r>
        <w:rPr>
          <w:rFonts w:hint="eastAsia"/>
          <w:b/>
          <w:sz w:val="20"/>
          <w:szCs w:val="20"/>
        </w:rPr>
        <w:t>知道：</w:t>
      </w:r>
      <w:r>
        <w:rPr>
          <w:rFonts w:hint="eastAsia"/>
          <w:sz w:val="20"/>
          <w:szCs w:val="20"/>
        </w:rPr>
        <w:t>“地理大发现”“郑和下西洋”发生的时间、过程、代表人物；</w:t>
      </w:r>
    </w:p>
    <w:p w:rsidR="0020222B" w:rsidRDefault="00F63D44">
      <w:pPr>
        <w:pStyle w:val="a7"/>
        <w:numPr>
          <w:ilvl w:val="0"/>
          <w:numId w:val="2"/>
        </w:numPr>
        <w:snapToGrid w:val="0"/>
        <w:spacing w:line="360" w:lineRule="auto"/>
        <w:ind w:firstLineChars="0"/>
        <w:rPr>
          <w:rFonts w:ascii="宋体" w:hAnsi="宋体"/>
          <w:b/>
          <w:bCs/>
          <w:sz w:val="20"/>
          <w:szCs w:val="20"/>
        </w:rPr>
      </w:pPr>
      <w:r>
        <w:rPr>
          <w:rFonts w:hint="eastAsia"/>
          <w:b/>
          <w:sz w:val="20"/>
          <w:szCs w:val="20"/>
        </w:rPr>
        <w:t>理解：</w:t>
      </w:r>
      <w:r>
        <w:rPr>
          <w:rFonts w:hint="eastAsia"/>
          <w:sz w:val="20"/>
          <w:szCs w:val="20"/>
        </w:rPr>
        <w:t>“地理大发现”“郑和下西洋”的起因、背景；</w:t>
      </w:r>
    </w:p>
    <w:p w:rsidR="0020222B" w:rsidRDefault="00F63D44">
      <w:pPr>
        <w:pStyle w:val="a7"/>
        <w:numPr>
          <w:ilvl w:val="0"/>
          <w:numId w:val="2"/>
        </w:numPr>
        <w:snapToGrid w:val="0"/>
        <w:spacing w:line="360" w:lineRule="auto"/>
        <w:ind w:left="0" w:firstLineChars="0" w:firstLine="400"/>
        <w:rPr>
          <w:rFonts w:ascii="宋体" w:hAnsi="宋体"/>
          <w:b/>
          <w:bCs/>
          <w:sz w:val="20"/>
          <w:szCs w:val="20"/>
        </w:rPr>
      </w:pPr>
      <w:r>
        <w:rPr>
          <w:rFonts w:hint="eastAsia"/>
          <w:b/>
          <w:sz w:val="20"/>
          <w:szCs w:val="20"/>
        </w:rPr>
        <w:t>分析：</w:t>
      </w:r>
      <w:r>
        <w:rPr>
          <w:rFonts w:hint="eastAsia"/>
          <w:sz w:val="20"/>
          <w:szCs w:val="20"/>
        </w:rPr>
        <w:t>从起因、过程、结果、影响等角度比较西欧“地理大发现”与我国“郑和下西洋”的异同；探讨：“郑和下西洋”发生的时间更早，远航的次数更多，郑和船队的技术含量更高，但它为什么不被视为“全球史”的开端？郑和去世后，中国的海洋开拓为何无法继续？</w:t>
      </w:r>
    </w:p>
    <w:p w:rsidR="0020222B" w:rsidRDefault="00F63D44">
      <w:pPr>
        <w:pStyle w:val="a7"/>
        <w:numPr>
          <w:ilvl w:val="0"/>
          <w:numId w:val="2"/>
        </w:numPr>
        <w:snapToGrid w:val="0"/>
        <w:spacing w:line="360" w:lineRule="auto"/>
        <w:ind w:left="0" w:firstLineChars="0" w:firstLine="400"/>
        <w:rPr>
          <w:rFonts w:ascii="宋体" w:hAnsi="宋体"/>
          <w:b/>
          <w:bCs/>
          <w:sz w:val="20"/>
          <w:szCs w:val="20"/>
        </w:rPr>
      </w:pPr>
      <w:r>
        <w:rPr>
          <w:rFonts w:hint="eastAsia"/>
          <w:b/>
          <w:sz w:val="20"/>
          <w:szCs w:val="20"/>
        </w:rPr>
        <w:t>评价：</w:t>
      </w:r>
      <w:r>
        <w:rPr>
          <w:rFonts w:hint="eastAsia"/>
          <w:sz w:val="20"/>
          <w:szCs w:val="20"/>
        </w:rPr>
        <w:t>站在</w:t>
      </w:r>
      <w:proofErr w:type="gramStart"/>
      <w:r>
        <w:rPr>
          <w:rFonts w:hint="eastAsia"/>
          <w:sz w:val="20"/>
          <w:szCs w:val="20"/>
        </w:rPr>
        <w:t>不</w:t>
      </w:r>
      <w:proofErr w:type="gramEnd"/>
      <w:r>
        <w:rPr>
          <w:rFonts w:hint="eastAsia"/>
          <w:sz w:val="20"/>
          <w:szCs w:val="20"/>
        </w:rPr>
        <w:t>同族群的立场（欧洲白人与美洲土著，明朝皇帝、官员、民众与东南亚诸国酋长等）评价“地理大发现”与“郑和下西洋”的意义与影响，意识到重大历史事件的复杂性；</w:t>
      </w:r>
    </w:p>
    <w:p w:rsidR="0020222B" w:rsidRDefault="00F63D44">
      <w:pPr>
        <w:pStyle w:val="a7"/>
        <w:numPr>
          <w:ilvl w:val="0"/>
          <w:numId w:val="2"/>
        </w:numPr>
        <w:snapToGrid w:val="0"/>
        <w:spacing w:line="360" w:lineRule="auto"/>
        <w:ind w:left="0" w:firstLineChars="0" w:firstLine="400"/>
        <w:rPr>
          <w:rFonts w:ascii="宋体" w:hAnsi="宋体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教学难点</w:t>
      </w:r>
      <w:r>
        <w:rPr>
          <w:rFonts w:hint="eastAsia"/>
          <w:sz w:val="20"/>
          <w:szCs w:val="20"/>
        </w:rPr>
        <w:t>：依托西方早期殖民活动的“全球化”肇始（“地理大发现”的</w:t>
      </w:r>
      <w:r>
        <w:rPr>
          <w:rFonts w:hint="eastAsia"/>
          <w:sz w:val="20"/>
          <w:szCs w:val="20"/>
        </w:rPr>
        <w:t>结果之一）；明代中国人的天下观、朝贡体系。</w:t>
      </w:r>
    </w:p>
    <w:p w:rsidR="0020222B" w:rsidRDefault="0020222B">
      <w:pPr>
        <w:snapToGrid w:val="0"/>
        <w:spacing w:line="360" w:lineRule="auto"/>
        <w:ind w:firstLineChars="200" w:firstLine="400"/>
        <w:rPr>
          <w:rFonts w:ascii="宋体" w:hAnsi="宋体"/>
          <w:sz w:val="20"/>
          <w:szCs w:val="20"/>
        </w:rPr>
      </w:pPr>
    </w:p>
    <w:p w:rsidR="0020222B" w:rsidRDefault="00F63D44">
      <w:pPr>
        <w:pStyle w:val="a7"/>
        <w:numPr>
          <w:ilvl w:val="0"/>
          <w:numId w:val="1"/>
        </w:numPr>
        <w:snapToGrid w:val="0"/>
        <w:spacing w:line="360" w:lineRule="auto"/>
        <w:ind w:right="26" w:firstLine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文艺复兴（</w:t>
      </w:r>
      <w:r>
        <w:rPr>
          <w:rFonts w:ascii="Times New Roman" w:hAnsi="Times New Roman"/>
          <w:b/>
          <w:bCs/>
          <w:szCs w:val="21"/>
        </w:rPr>
        <w:t>1</w:t>
      </w:r>
      <w:r>
        <w:rPr>
          <w:rFonts w:ascii="Times New Roman" w:hAnsi="Times New Roman" w:hint="eastAsia"/>
          <w:b/>
          <w:bCs/>
          <w:szCs w:val="21"/>
        </w:rPr>
        <w:t>4</w:t>
      </w:r>
      <w:r>
        <w:rPr>
          <w:rFonts w:ascii="Times New Roman" w:hAnsi="Times New Roman"/>
          <w:b/>
          <w:bCs/>
          <w:szCs w:val="21"/>
        </w:rPr>
        <w:t>课时</w:t>
      </w:r>
      <w:r>
        <w:rPr>
          <w:rFonts w:hint="eastAsia"/>
          <w:b/>
          <w:bCs/>
          <w:szCs w:val="21"/>
        </w:rPr>
        <w:t>）</w:t>
      </w:r>
    </w:p>
    <w:p w:rsidR="0020222B" w:rsidRDefault="00F63D44">
      <w:pPr>
        <w:pStyle w:val="a7"/>
        <w:numPr>
          <w:ilvl w:val="0"/>
          <w:numId w:val="3"/>
        </w:numPr>
        <w:snapToGrid w:val="0"/>
        <w:spacing w:line="360" w:lineRule="auto"/>
        <w:ind w:left="0" w:right="26" w:firstLineChars="0" w:firstLine="394"/>
        <w:rPr>
          <w:b/>
          <w:bCs/>
          <w:szCs w:val="21"/>
        </w:rPr>
      </w:pPr>
      <w:r>
        <w:rPr>
          <w:rFonts w:hint="eastAsia"/>
          <w:b/>
          <w:sz w:val="20"/>
          <w:szCs w:val="20"/>
        </w:rPr>
        <w:t>知道：</w:t>
      </w:r>
      <w:r>
        <w:rPr>
          <w:rFonts w:hint="eastAsia"/>
          <w:sz w:val="20"/>
          <w:szCs w:val="20"/>
        </w:rPr>
        <w:t>“文艺复兴”的主要推动者，既有艺术赞助人（如</w:t>
      </w:r>
      <w:proofErr w:type="gramStart"/>
      <w:r>
        <w:rPr>
          <w:rFonts w:hint="eastAsia"/>
          <w:sz w:val="20"/>
          <w:szCs w:val="20"/>
        </w:rPr>
        <w:t>美第奇家族</w:t>
      </w:r>
      <w:proofErr w:type="gramEnd"/>
      <w:r>
        <w:rPr>
          <w:rFonts w:hint="eastAsia"/>
          <w:sz w:val="20"/>
          <w:szCs w:val="20"/>
        </w:rPr>
        <w:t>），也有各类艺术家（如以达芬奇为代表的画家、雕塑家、工程师，以莎士比亚为代表的作家）及其事迹与主要作品；</w:t>
      </w:r>
    </w:p>
    <w:p w:rsidR="0020222B" w:rsidRDefault="00F63D44">
      <w:pPr>
        <w:pStyle w:val="a7"/>
        <w:numPr>
          <w:ilvl w:val="0"/>
          <w:numId w:val="3"/>
        </w:numPr>
        <w:snapToGrid w:val="0"/>
        <w:spacing w:line="360" w:lineRule="auto"/>
        <w:ind w:left="0" w:right="26" w:firstLineChars="0" w:firstLine="394"/>
        <w:rPr>
          <w:b/>
          <w:bCs/>
          <w:szCs w:val="21"/>
        </w:rPr>
      </w:pPr>
      <w:r>
        <w:rPr>
          <w:rFonts w:hint="eastAsia"/>
          <w:b/>
          <w:sz w:val="20"/>
          <w:szCs w:val="20"/>
        </w:rPr>
        <w:t>理解：</w:t>
      </w:r>
      <w:r>
        <w:rPr>
          <w:rFonts w:hint="eastAsia"/>
          <w:sz w:val="20"/>
          <w:szCs w:val="20"/>
        </w:rPr>
        <w:t>“文艺复兴”发生的社会文化背景；</w:t>
      </w:r>
    </w:p>
    <w:p w:rsidR="0020222B" w:rsidRDefault="00F63D44">
      <w:pPr>
        <w:pStyle w:val="a7"/>
        <w:numPr>
          <w:ilvl w:val="0"/>
          <w:numId w:val="3"/>
        </w:numPr>
        <w:snapToGrid w:val="0"/>
        <w:spacing w:line="360" w:lineRule="auto"/>
        <w:ind w:left="0" w:right="26" w:firstLineChars="0" w:firstLine="394"/>
        <w:rPr>
          <w:b/>
          <w:bCs/>
          <w:szCs w:val="21"/>
        </w:rPr>
      </w:pPr>
      <w:r>
        <w:rPr>
          <w:rFonts w:hint="eastAsia"/>
          <w:b/>
          <w:sz w:val="20"/>
          <w:szCs w:val="20"/>
        </w:rPr>
        <w:t>分析：</w:t>
      </w:r>
      <w:r>
        <w:rPr>
          <w:rFonts w:hint="eastAsia"/>
          <w:sz w:val="20"/>
          <w:szCs w:val="20"/>
        </w:rPr>
        <w:t>“文艺复兴”时期，</w:t>
      </w:r>
      <w:r>
        <w:rPr>
          <w:rFonts w:asciiTheme="minorEastAsia" w:eastAsiaTheme="minorEastAsia" w:hAnsiTheme="minorEastAsia" w:cstheme="minorEastAsia" w:hint="eastAsia"/>
          <w:szCs w:val="21"/>
        </w:rPr>
        <w:t>以贵族和工商业巨头为主的艺术赞助人，如何从同阶层间的社会交往、笼络普通民众、攫取国际威望等需求出发，雇佣艺术家开展创作，形成了</w:t>
      </w:r>
      <w:r>
        <w:rPr>
          <w:rFonts w:asciiTheme="minorEastAsia" w:eastAsiaTheme="minorEastAsia" w:hAnsiTheme="minorEastAsia" w:cstheme="minorEastAsia" w:hint="eastAsia"/>
          <w:szCs w:val="21"/>
        </w:rPr>
        <w:lastRenderedPageBreak/>
        <w:t>“艺术市场”；以达芬奇为代表的视觉艺术家（创作涉及绘画、雕塑、建筑等）如何批判性地继承希</w:t>
      </w:r>
      <w:r>
        <w:rPr>
          <w:rFonts w:asciiTheme="minorEastAsia" w:eastAsiaTheme="minorEastAsia" w:hAnsiTheme="minorEastAsia" w:cstheme="minorEastAsia" w:hint="eastAsia"/>
          <w:szCs w:val="21"/>
        </w:rPr>
        <w:t>腊、罗马、中世纪的文化成果，运用新材料与新技艺，创造了新的艺术形式，使人们观看世界的眼光发生了质的变化；</w:t>
      </w:r>
    </w:p>
    <w:p w:rsidR="0020222B" w:rsidRDefault="00F63D44">
      <w:pPr>
        <w:pStyle w:val="a7"/>
        <w:numPr>
          <w:ilvl w:val="0"/>
          <w:numId w:val="3"/>
        </w:numPr>
        <w:snapToGrid w:val="0"/>
        <w:spacing w:line="360" w:lineRule="auto"/>
        <w:ind w:left="0" w:right="26" w:firstLineChars="0" w:firstLine="394"/>
        <w:rPr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教学难点：</w:t>
      </w:r>
      <w:r>
        <w:rPr>
          <w:rFonts w:asciiTheme="minorEastAsia" w:eastAsiaTheme="minorEastAsia" w:hAnsiTheme="minorEastAsia" w:cstheme="minorEastAsia" w:hint="eastAsia"/>
          <w:szCs w:val="21"/>
        </w:rPr>
        <w:t>佛罗伦萨圣母百花大教堂、《蒙娜丽莎》等视觉艺术作品对希腊、罗马、中世纪艺术风格、文化母题等的传承与改造；</w:t>
      </w:r>
    </w:p>
    <w:p w:rsidR="0020222B" w:rsidRDefault="0020222B">
      <w:pPr>
        <w:snapToGrid w:val="0"/>
        <w:spacing w:line="360" w:lineRule="auto"/>
        <w:ind w:right="26"/>
        <w:rPr>
          <w:b/>
          <w:bCs/>
          <w:szCs w:val="21"/>
        </w:rPr>
      </w:pPr>
    </w:p>
    <w:p w:rsidR="0020222B" w:rsidRDefault="00F63D44">
      <w:pPr>
        <w:numPr>
          <w:ilvl w:val="0"/>
          <w:numId w:val="4"/>
        </w:numPr>
        <w:snapToGrid w:val="0"/>
        <w:spacing w:line="360" w:lineRule="auto"/>
        <w:ind w:leftChars="190" w:left="1468" w:right="26" w:hangingChars="507" w:hanging="1069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宗教改革（</w:t>
      </w:r>
      <w:r>
        <w:rPr>
          <w:rFonts w:ascii="Times New Roman" w:eastAsiaTheme="minorEastAsia" w:hAnsi="Times New Roman"/>
          <w:b/>
          <w:bCs/>
          <w:szCs w:val="21"/>
        </w:rPr>
        <w:t>1</w:t>
      </w:r>
      <w:r>
        <w:rPr>
          <w:rFonts w:ascii="Times New Roman" w:eastAsiaTheme="minorEastAsia" w:hAnsi="Times New Roman" w:hint="eastAsia"/>
          <w:b/>
          <w:bCs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课时）</w:t>
      </w:r>
    </w:p>
    <w:p w:rsidR="0020222B" w:rsidRDefault="00F63D44">
      <w:pPr>
        <w:pStyle w:val="a7"/>
        <w:numPr>
          <w:ilvl w:val="0"/>
          <w:numId w:val="5"/>
        </w:numPr>
        <w:snapToGrid w:val="0"/>
        <w:spacing w:line="360" w:lineRule="auto"/>
        <w:ind w:left="0" w:right="26" w:firstLineChars="0" w:firstLine="400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hint="eastAsia"/>
          <w:b/>
          <w:szCs w:val="21"/>
        </w:rPr>
        <w:t>知道：</w:t>
      </w:r>
      <w:r>
        <w:rPr>
          <w:rFonts w:hint="eastAsia"/>
          <w:szCs w:val="21"/>
        </w:rPr>
        <w:t>基督教主要内容，历史上的代表人物（耶稣及十二门徒），马丁</w:t>
      </w:r>
      <w:r>
        <w:rPr>
          <w:rFonts w:ascii="宋体" w:hAnsi="宋体" w:cs="宋体" w:hint="eastAsia"/>
          <w:szCs w:val="21"/>
        </w:rPr>
        <w:t>·路德、托马斯·闵采尔等宗教改革者的事迹、主要观点及《九十五条论纲》等重要文献；</w:t>
      </w:r>
    </w:p>
    <w:p w:rsidR="0020222B" w:rsidRDefault="00F63D44">
      <w:pPr>
        <w:pStyle w:val="a7"/>
        <w:numPr>
          <w:ilvl w:val="0"/>
          <w:numId w:val="5"/>
        </w:numPr>
        <w:snapToGrid w:val="0"/>
        <w:spacing w:line="360" w:lineRule="auto"/>
        <w:ind w:left="0" w:right="26" w:firstLineChars="0" w:firstLine="400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hint="eastAsia"/>
          <w:b/>
          <w:sz w:val="20"/>
          <w:szCs w:val="20"/>
        </w:rPr>
        <w:t>理解：</w:t>
      </w:r>
      <w:r>
        <w:rPr>
          <w:rFonts w:hint="eastAsia"/>
          <w:sz w:val="20"/>
          <w:szCs w:val="20"/>
        </w:rPr>
        <w:t>为了使人们接受自己的主张，以马丁</w:t>
      </w:r>
      <w:r>
        <w:rPr>
          <w:rFonts w:ascii="宋体" w:hAnsi="宋体" w:cs="宋体" w:hint="eastAsia"/>
          <w:sz w:val="20"/>
          <w:szCs w:val="20"/>
        </w:rPr>
        <w:t>·路德和托马斯·闵采尔为代表的宗教改革者积极充当欧洲历史上第一批“畅销书作者”，充分运用当时新兴的印刷技术与出版行业，制作图文并茂的小册子、以当地语言翻译的《圣经》等“通俗读物”，最大限度地传播思想，启迪民智。出版印刷业的兴起、本土语言的使用等极大地加快了“信息”在各阶层内部以及阶层间流动的速度与覆盖范围，有关“宗教改革”的各类观点得以广泛传播，掀起社会思潮。</w:t>
      </w:r>
    </w:p>
    <w:p w:rsidR="0020222B" w:rsidRDefault="00F63D44">
      <w:pPr>
        <w:pStyle w:val="a7"/>
        <w:numPr>
          <w:ilvl w:val="0"/>
          <w:numId w:val="5"/>
        </w:numPr>
        <w:snapToGrid w:val="0"/>
        <w:spacing w:line="360" w:lineRule="auto"/>
        <w:ind w:left="0" w:right="26" w:firstLineChars="0" w:firstLine="400"/>
        <w:rPr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教学难点：</w:t>
      </w:r>
      <w:r>
        <w:rPr>
          <w:rFonts w:asciiTheme="minorEastAsia" w:eastAsiaTheme="minorEastAsia" w:hAnsiTheme="minorEastAsia" w:cstheme="minorEastAsia" w:hint="eastAsia"/>
          <w:szCs w:val="21"/>
        </w:rPr>
        <w:t>基督教核心教义（复活、基督的人神二性论等）的具体内涵。在中世纪欧洲基督教不仅是精神信仰，更是社会组织方式，所以宗教改革掀起了从人的思想观念</w:t>
      </w:r>
      <w:r>
        <w:rPr>
          <w:rFonts w:asciiTheme="minorEastAsia" w:eastAsiaTheme="minorEastAsia" w:hAnsiTheme="minorEastAsia" w:cstheme="minorEastAsia" w:hint="eastAsia"/>
          <w:szCs w:val="21"/>
        </w:rPr>
        <w:t>到社会制度的广泛而深刻的变革。</w:t>
      </w:r>
    </w:p>
    <w:p w:rsidR="0020222B" w:rsidRDefault="0020222B">
      <w:pPr>
        <w:snapToGrid w:val="0"/>
        <w:spacing w:line="288" w:lineRule="auto"/>
        <w:ind w:right="26"/>
        <w:rPr>
          <w:sz w:val="20"/>
          <w:szCs w:val="20"/>
        </w:rPr>
      </w:pPr>
    </w:p>
    <w:p w:rsidR="0020222B" w:rsidRDefault="00F63D44" w:rsidP="00F63D4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六、课内实验名称及基本要求（选填，适用于课内实验）</w:t>
      </w:r>
    </w:p>
    <w:p w:rsidR="0020222B" w:rsidRDefault="00F63D4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20222B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F63D4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F63D4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F63D4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F63D4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20222B" w:rsidRDefault="00F63D4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F63D4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F63D4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0222B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0222B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0222B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0222B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0222B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20222B" w:rsidRDefault="00F63D44" w:rsidP="00F63D44">
      <w:pPr>
        <w:widowControl/>
        <w:spacing w:beforeLines="50" w:afterLines="50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六、实践环节各阶段名称及基本要求（选填，适用于集中实践、实习、毕业设计等）</w:t>
      </w:r>
    </w:p>
    <w:p w:rsidR="0020222B" w:rsidRDefault="00F63D44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20222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F63D44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F63D44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F63D44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F63D44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F63D44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0222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0222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0222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0222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0222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2B" w:rsidRDefault="0020222B" w:rsidP="00F63D4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20222B" w:rsidRDefault="0020222B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20222B">
        <w:tc>
          <w:tcPr>
            <w:tcW w:w="1809" w:type="dxa"/>
            <w:shd w:val="clear" w:color="auto" w:fill="auto"/>
          </w:tcPr>
          <w:p w:rsidR="0020222B" w:rsidRDefault="00F63D44" w:rsidP="00F63D44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0222B" w:rsidRDefault="00F63D44" w:rsidP="00F63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0222B" w:rsidRDefault="00F63D44" w:rsidP="00F63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20222B">
        <w:tc>
          <w:tcPr>
            <w:tcW w:w="1809" w:type="dxa"/>
            <w:shd w:val="clear" w:color="auto" w:fill="auto"/>
          </w:tcPr>
          <w:p w:rsidR="0020222B" w:rsidRDefault="00F63D44" w:rsidP="00F63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0222B" w:rsidRDefault="00F63D44" w:rsidP="00F63D44">
            <w:pPr>
              <w:snapToGrid w:val="0"/>
              <w:spacing w:beforeLines="50" w:afterLines="50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</w:t>
            </w:r>
            <w:proofErr w:type="gramStart"/>
            <w:r>
              <w:rPr>
                <w:rFonts w:ascii="宋体" w:hAnsi="宋体"/>
                <w:bCs/>
                <w:color w:val="000000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请</w:t>
            </w:r>
            <w:r>
              <w:rPr>
                <w:rFonts w:hint="eastAsia"/>
                <w:szCs w:val="21"/>
              </w:rPr>
              <w:t>搜集从罗马帝国时代（公元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/>
                <w:szCs w:val="21"/>
              </w:rPr>
              <w:t>世纪）到</w:t>
            </w:r>
            <w:r>
              <w:rPr>
                <w:rFonts w:ascii="Times New Roman" w:hAnsi="Times New Roman"/>
                <w:szCs w:val="21"/>
              </w:rPr>
              <w:t>19</w:t>
            </w:r>
            <w:r>
              <w:rPr>
                <w:rFonts w:hint="eastAsia"/>
                <w:szCs w:val="21"/>
              </w:rPr>
              <w:t>世纪，西方人对中国和中国人的看法；摘录其中你所认为的最重要、最有意义的部分，并按照自己的理解归纳整理（如果可以的话，请说明分类理由）</w:t>
            </w:r>
          </w:p>
        </w:tc>
        <w:tc>
          <w:tcPr>
            <w:tcW w:w="1843" w:type="dxa"/>
            <w:shd w:val="clear" w:color="auto" w:fill="auto"/>
          </w:tcPr>
          <w:p w:rsidR="0020222B" w:rsidRDefault="00F63D44" w:rsidP="00F63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30%</w:t>
            </w:r>
          </w:p>
        </w:tc>
      </w:tr>
      <w:tr w:rsidR="0020222B">
        <w:tc>
          <w:tcPr>
            <w:tcW w:w="1809" w:type="dxa"/>
            <w:shd w:val="clear" w:color="auto" w:fill="auto"/>
          </w:tcPr>
          <w:p w:rsidR="0020222B" w:rsidRDefault="00F63D44" w:rsidP="00F63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0222B" w:rsidRDefault="00F63D44" w:rsidP="00F63D44">
            <w:pPr>
              <w:snapToGrid w:val="0"/>
              <w:spacing w:beforeLines="50" w:afterLines="50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作业二：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请开</w:t>
            </w:r>
            <w:r>
              <w:rPr>
                <w:rFonts w:ascii="Times New Roman" w:eastAsiaTheme="minorEastAsia" w:hAnsi="Times New Roman"/>
                <w:szCs w:val="21"/>
              </w:rPr>
              <w:t>1</w:t>
            </w:r>
            <w:r>
              <w:rPr>
                <w:rFonts w:ascii="Times New Roman" w:eastAsiaTheme="minorEastAsia" w:hAnsi="Times New Roman"/>
                <w:szCs w:val="21"/>
              </w:rPr>
              <w:t>份书目，至少推荐</w:t>
            </w:r>
            <w:r>
              <w:rPr>
                <w:rFonts w:ascii="Times New Roman" w:eastAsiaTheme="minorEastAsia" w:hAnsi="Times New Roman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本书，有关对“文艺复兴”的整体性研究，或有关该时期社会生活的、其他重大历史事件、著名人物的研究，写明每本书的推荐理由</w:t>
            </w:r>
          </w:p>
        </w:tc>
        <w:tc>
          <w:tcPr>
            <w:tcW w:w="1843" w:type="dxa"/>
            <w:shd w:val="clear" w:color="auto" w:fill="auto"/>
          </w:tcPr>
          <w:p w:rsidR="0020222B" w:rsidRDefault="00F63D44" w:rsidP="00F63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30%</w:t>
            </w:r>
          </w:p>
        </w:tc>
      </w:tr>
      <w:tr w:rsidR="0020222B">
        <w:tc>
          <w:tcPr>
            <w:tcW w:w="1809" w:type="dxa"/>
            <w:shd w:val="clear" w:color="auto" w:fill="auto"/>
          </w:tcPr>
          <w:p w:rsidR="0020222B" w:rsidRDefault="00F63D44" w:rsidP="00F63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0222B" w:rsidRDefault="00F63D44" w:rsidP="00F63D44">
            <w:pPr>
              <w:snapToGrid w:val="0"/>
              <w:spacing w:beforeLines="50" w:afterLines="50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作业三：请写一篇</w:t>
            </w:r>
            <w:r>
              <w:rPr>
                <w:rFonts w:ascii="Times New Roman" w:eastAsiaTheme="minorEastAsia" w:hAnsi="Times New Roman"/>
                <w:szCs w:val="21"/>
              </w:rPr>
              <w:t>1500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字左右的文章，从自己感兴趣的方面谈一谈本门课学习所得</w:t>
            </w:r>
          </w:p>
        </w:tc>
        <w:tc>
          <w:tcPr>
            <w:tcW w:w="1843" w:type="dxa"/>
            <w:shd w:val="clear" w:color="auto" w:fill="auto"/>
          </w:tcPr>
          <w:p w:rsidR="0020222B" w:rsidRDefault="00F63D44" w:rsidP="00F63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40%</w:t>
            </w:r>
          </w:p>
        </w:tc>
      </w:tr>
      <w:tr w:rsidR="0020222B">
        <w:tc>
          <w:tcPr>
            <w:tcW w:w="1809" w:type="dxa"/>
            <w:shd w:val="clear" w:color="auto" w:fill="auto"/>
          </w:tcPr>
          <w:p w:rsidR="0020222B" w:rsidRDefault="00F63D44" w:rsidP="00F63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20222B" w:rsidRDefault="0020222B" w:rsidP="00F63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0222B" w:rsidRDefault="0020222B" w:rsidP="00F63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20222B">
        <w:tc>
          <w:tcPr>
            <w:tcW w:w="1809" w:type="dxa"/>
            <w:shd w:val="clear" w:color="auto" w:fill="auto"/>
          </w:tcPr>
          <w:p w:rsidR="0020222B" w:rsidRDefault="0020222B" w:rsidP="00F63D44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5103" w:type="dxa"/>
            <w:shd w:val="clear" w:color="auto" w:fill="auto"/>
          </w:tcPr>
          <w:p w:rsidR="0020222B" w:rsidRDefault="0020222B" w:rsidP="00F63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1843" w:type="dxa"/>
            <w:shd w:val="clear" w:color="auto" w:fill="auto"/>
          </w:tcPr>
          <w:p w:rsidR="0020222B" w:rsidRDefault="0020222B" w:rsidP="00F63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20222B" w:rsidRDefault="00F63D44" w:rsidP="00F63D44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七、评价方式与成绩</w:t>
      </w:r>
      <w:r>
        <w:rPr>
          <w:rFonts w:ascii="黑体" w:eastAsia="黑体" w:hAnsi="宋体"/>
          <w:sz w:val="24"/>
        </w:rPr>
        <w:t>（必填项）</w:t>
      </w:r>
    </w:p>
    <w:p w:rsidR="0020222B" w:rsidRDefault="00F63D44" w:rsidP="00F63D44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</w:t>
      </w:r>
      <w:r>
        <w:rPr>
          <w:rFonts w:ascii="宋体" w:hAnsi="宋体" w:hint="eastAsia"/>
          <w:sz w:val="20"/>
          <w:szCs w:val="20"/>
        </w:rPr>
        <w:t xml:space="preserve">, 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20222B" w:rsidRDefault="00F63D44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</w:t>
      </w:r>
      <w:r>
        <w:rPr>
          <w:rFonts w:ascii="宋体" w:hAnsi="宋体" w:hint="eastAsia"/>
          <w:b/>
          <w:sz w:val="20"/>
          <w:szCs w:val="20"/>
          <w:highlight w:val="yellow"/>
        </w:rPr>
        <w:t>X</w:t>
      </w:r>
      <w:r>
        <w:rPr>
          <w:rFonts w:ascii="宋体" w:hAnsi="宋体" w:hint="eastAsia"/>
          <w:b/>
          <w:sz w:val="20"/>
          <w:szCs w:val="20"/>
          <w:highlight w:val="yellow"/>
        </w:rPr>
        <w:t>”中的一部分。</w:t>
      </w:r>
    </w:p>
    <w:p w:rsidR="0020222B" w:rsidRDefault="00F63D44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</w:t>
      </w:r>
      <w:r>
        <w:rPr>
          <w:rFonts w:ascii="宋体" w:hAnsi="宋体" w:hint="eastAsia"/>
          <w:sz w:val="20"/>
          <w:szCs w:val="20"/>
          <w:highlight w:val="yellow"/>
        </w:rPr>
        <w:t>X</w:t>
      </w:r>
      <w:r>
        <w:rPr>
          <w:rFonts w:ascii="宋体" w:hAnsi="宋体" w:hint="eastAsia"/>
          <w:sz w:val="20"/>
          <w:szCs w:val="20"/>
          <w:highlight w:val="yellow"/>
        </w:rPr>
        <w:t>的内容、次数及比例。</w:t>
      </w:r>
    </w:p>
    <w:p w:rsidR="0020222B" w:rsidRDefault="0020222B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20222B" w:rsidRDefault="00F63D4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系主任审核签名：</w:t>
      </w:r>
    </w:p>
    <w:p w:rsidR="0020222B" w:rsidRDefault="00F63D4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 w:rsidR="0020222B" w:rsidRDefault="0020222B"/>
    <w:sectPr w:rsidR="0020222B" w:rsidSect="0020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D44" w:rsidRDefault="00F63D44" w:rsidP="00F63D44">
      <w:r>
        <w:separator/>
      </w:r>
    </w:p>
  </w:endnote>
  <w:endnote w:type="continuationSeparator" w:id="1">
    <w:p w:rsidR="00F63D44" w:rsidRDefault="00F63D44" w:rsidP="00F6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D44" w:rsidRDefault="00F63D44" w:rsidP="00F63D44">
      <w:r>
        <w:separator/>
      </w:r>
    </w:p>
  </w:footnote>
  <w:footnote w:type="continuationSeparator" w:id="1">
    <w:p w:rsidR="00F63D44" w:rsidRDefault="00F63D44" w:rsidP="00F63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394"/>
    <w:multiLevelType w:val="multilevel"/>
    <w:tmpl w:val="036E4394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1">
    <w:nsid w:val="1EE61258"/>
    <w:multiLevelType w:val="multilevel"/>
    <w:tmpl w:val="1EE61258"/>
    <w:lvl w:ilvl="0">
      <w:start w:val="1"/>
      <w:numFmt w:val="decimal"/>
      <w:lvlText w:val="%1."/>
      <w:lvlJc w:val="left"/>
      <w:pPr>
        <w:ind w:left="760" w:hanging="360"/>
      </w:pPr>
      <w:rPr>
        <w:rFonts w:ascii="Calibri" w:eastAsia="宋体" w:hAnsi="Calibri" w:cs="Times New Roman" w:hint="default"/>
        <w:b w:val="0"/>
        <w:sz w:val="20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2">
    <w:nsid w:val="59C65287"/>
    <w:multiLevelType w:val="singleLevel"/>
    <w:tmpl w:val="59C65287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EE077FE"/>
    <w:multiLevelType w:val="multilevel"/>
    <w:tmpl w:val="5EE077FE"/>
    <w:lvl w:ilvl="0">
      <w:start w:val="1"/>
      <w:numFmt w:val="japaneseCounting"/>
      <w:lvlText w:val="%1、"/>
      <w:lvlJc w:val="left"/>
      <w:pPr>
        <w:ind w:left="8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4">
    <w:nsid w:val="5EE53199"/>
    <w:multiLevelType w:val="multilevel"/>
    <w:tmpl w:val="5EE53199"/>
    <w:lvl w:ilvl="0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1234" w:hanging="420"/>
      </w:pPr>
    </w:lvl>
    <w:lvl w:ilvl="2">
      <w:start w:val="1"/>
      <w:numFmt w:val="lowerRoman"/>
      <w:lvlText w:val="%3."/>
      <w:lvlJc w:val="right"/>
      <w:pPr>
        <w:ind w:left="1654" w:hanging="420"/>
      </w:pPr>
    </w:lvl>
    <w:lvl w:ilvl="3">
      <w:start w:val="1"/>
      <w:numFmt w:val="decimal"/>
      <w:lvlText w:val="%4."/>
      <w:lvlJc w:val="left"/>
      <w:pPr>
        <w:ind w:left="2074" w:hanging="420"/>
      </w:pPr>
    </w:lvl>
    <w:lvl w:ilvl="4">
      <w:start w:val="1"/>
      <w:numFmt w:val="lowerLetter"/>
      <w:lvlText w:val="%5)"/>
      <w:lvlJc w:val="left"/>
      <w:pPr>
        <w:ind w:left="2494" w:hanging="420"/>
      </w:pPr>
    </w:lvl>
    <w:lvl w:ilvl="5">
      <w:start w:val="1"/>
      <w:numFmt w:val="lowerRoman"/>
      <w:lvlText w:val="%6."/>
      <w:lvlJc w:val="right"/>
      <w:pPr>
        <w:ind w:left="2914" w:hanging="420"/>
      </w:pPr>
    </w:lvl>
    <w:lvl w:ilvl="6">
      <w:start w:val="1"/>
      <w:numFmt w:val="decimal"/>
      <w:lvlText w:val="%7."/>
      <w:lvlJc w:val="left"/>
      <w:pPr>
        <w:ind w:left="3334" w:hanging="420"/>
      </w:pPr>
    </w:lvl>
    <w:lvl w:ilvl="7">
      <w:start w:val="1"/>
      <w:numFmt w:val="lowerLetter"/>
      <w:lvlText w:val="%8)"/>
      <w:lvlJc w:val="left"/>
      <w:pPr>
        <w:ind w:left="3754" w:hanging="420"/>
      </w:pPr>
    </w:lvl>
    <w:lvl w:ilvl="8">
      <w:start w:val="1"/>
      <w:numFmt w:val="lowerRoman"/>
      <w:lvlText w:val="%9."/>
      <w:lvlJc w:val="right"/>
      <w:pPr>
        <w:ind w:left="4174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7651F"/>
    <w:rsid w:val="000059FA"/>
    <w:rsid w:val="0007362F"/>
    <w:rsid w:val="000B202B"/>
    <w:rsid w:val="000E1743"/>
    <w:rsid w:val="00110307"/>
    <w:rsid w:val="00176E59"/>
    <w:rsid w:val="001A1226"/>
    <w:rsid w:val="001D466D"/>
    <w:rsid w:val="001F4A01"/>
    <w:rsid w:val="0020222B"/>
    <w:rsid w:val="00256B39"/>
    <w:rsid w:val="0026033C"/>
    <w:rsid w:val="002A398A"/>
    <w:rsid w:val="002E3721"/>
    <w:rsid w:val="002F1A16"/>
    <w:rsid w:val="00313BBA"/>
    <w:rsid w:val="0032602E"/>
    <w:rsid w:val="003367AE"/>
    <w:rsid w:val="00354990"/>
    <w:rsid w:val="003945F2"/>
    <w:rsid w:val="003B3F7D"/>
    <w:rsid w:val="003B60F1"/>
    <w:rsid w:val="003C38AD"/>
    <w:rsid w:val="003F127E"/>
    <w:rsid w:val="004100B0"/>
    <w:rsid w:val="004E5C6F"/>
    <w:rsid w:val="005467DC"/>
    <w:rsid w:val="00550CE2"/>
    <w:rsid w:val="00553D03"/>
    <w:rsid w:val="005B2B6D"/>
    <w:rsid w:val="005B4B4E"/>
    <w:rsid w:val="005C3CC3"/>
    <w:rsid w:val="00624FE1"/>
    <w:rsid w:val="007208D6"/>
    <w:rsid w:val="007532DF"/>
    <w:rsid w:val="00760E91"/>
    <w:rsid w:val="008B397C"/>
    <w:rsid w:val="008B47F4"/>
    <w:rsid w:val="008F279F"/>
    <w:rsid w:val="00900019"/>
    <w:rsid w:val="0099063E"/>
    <w:rsid w:val="009E6A41"/>
    <w:rsid w:val="00A05991"/>
    <w:rsid w:val="00A32929"/>
    <w:rsid w:val="00AB04A5"/>
    <w:rsid w:val="00AD08F0"/>
    <w:rsid w:val="00AF35CA"/>
    <w:rsid w:val="00B511A5"/>
    <w:rsid w:val="00B7651F"/>
    <w:rsid w:val="00C56E09"/>
    <w:rsid w:val="00C721FD"/>
    <w:rsid w:val="00D30132"/>
    <w:rsid w:val="00E16D30"/>
    <w:rsid w:val="00E33169"/>
    <w:rsid w:val="00E70904"/>
    <w:rsid w:val="00EE1EFB"/>
    <w:rsid w:val="00EF44B1"/>
    <w:rsid w:val="00F35AA0"/>
    <w:rsid w:val="00F63C7A"/>
    <w:rsid w:val="00F63D44"/>
    <w:rsid w:val="00F80DBA"/>
    <w:rsid w:val="00FF2C61"/>
    <w:rsid w:val="024B0C39"/>
    <w:rsid w:val="026A6B57"/>
    <w:rsid w:val="06CD4C74"/>
    <w:rsid w:val="07910517"/>
    <w:rsid w:val="089608E6"/>
    <w:rsid w:val="10A40C39"/>
    <w:rsid w:val="1252010C"/>
    <w:rsid w:val="170C74B4"/>
    <w:rsid w:val="24192CCC"/>
    <w:rsid w:val="24E1561A"/>
    <w:rsid w:val="3323490D"/>
    <w:rsid w:val="3CD52CE1"/>
    <w:rsid w:val="3D3C55B6"/>
    <w:rsid w:val="3F997440"/>
    <w:rsid w:val="41736F2E"/>
    <w:rsid w:val="4C653F3E"/>
    <w:rsid w:val="4CC36DE3"/>
    <w:rsid w:val="509B1EB3"/>
    <w:rsid w:val="54875D3D"/>
    <w:rsid w:val="66BA4938"/>
    <w:rsid w:val="66F15FD1"/>
    <w:rsid w:val="6EC86481"/>
    <w:rsid w:val="6F5042C2"/>
    <w:rsid w:val="773E764D"/>
    <w:rsid w:val="78C81C39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2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20222B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2022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02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2022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20222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20222B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20222B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F63D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2733</Words>
  <Characters>537</Characters>
  <Application>Microsoft Office Word</Application>
  <DocSecurity>0</DocSecurity>
  <Lines>4</Lines>
  <Paragraphs>6</Paragraphs>
  <ScaleCrop>false</ScaleCrop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jwzx-cj</cp:lastModifiedBy>
  <cp:revision>48</cp:revision>
  <dcterms:created xsi:type="dcterms:W3CDTF">2016-12-19T07:34:00Z</dcterms:created>
  <dcterms:modified xsi:type="dcterms:W3CDTF">2021-09-14T07:59:00Z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16CC9EC9572D4C68998AF362CF2BFE99</vt:lpwstr>
  </property>
</Properties>
</file>