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7E36"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DF39FF"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DF39FF"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EastAsia" w:hAnsiTheme="majorEastAsia" w:eastAsiaTheme="majorEastAsia" w:cstheme="majorEastAsia"/>
          <w:b/>
          <w:sz w:val="28"/>
          <w:szCs w:val="30"/>
          <w:lang w:val="en-US" w:eastAsia="zh-CN"/>
        </w:rPr>
        <w:t>幼儿园游戏</w:t>
      </w:r>
      <w:r>
        <w:rPr>
          <w:rFonts w:hint="eastAsia"/>
          <w:b/>
          <w:sz w:val="28"/>
          <w:szCs w:val="30"/>
        </w:rPr>
        <w:t>】</w:t>
      </w:r>
    </w:p>
    <w:p w14:paraId="3898B8D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Kindergarten Play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96FBAEC">
      <w:pPr>
        <w:spacing w:beforeLines="50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 w14:paraId="76A15E65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1130015</w:t>
      </w:r>
      <w:r>
        <w:rPr>
          <w:color w:val="000000"/>
          <w:sz w:val="20"/>
          <w:szCs w:val="20"/>
        </w:rPr>
        <w:t>】</w:t>
      </w:r>
    </w:p>
    <w:p w14:paraId="06B77C42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 w14:paraId="77C6CBAB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学前教育</w:t>
      </w:r>
      <w:r>
        <w:rPr>
          <w:color w:val="000000"/>
          <w:sz w:val="20"/>
          <w:szCs w:val="20"/>
        </w:rPr>
        <w:t>】</w:t>
      </w:r>
    </w:p>
    <w:p w14:paraId="2287561D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  <w:highlight w:val="none"/>
        </w:rPr>
        <w:t>◎</w:t>
      </w:r>
      <w:r>
        <w:rPr>
          <w:color w:val="000000"/>
          <w:sz w:val="20"/>
          <w:szCs w:val="20"/>
        </w:rPr>
        <w:t>】</w:t>
      </w:r>
    </w:p>
    <w:p w14:paraId="0276C46D">
      <w:pPr>
        <w:snapToGrid w:val="0"/>
        <w:spacing w:line="288" w:lineRule="auto"/>
        <w:ind w:firstLine="392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教育学院</w:t>
      </w:r>
    </w:p>
    <w:p w14:paraId="2DB90ED6">
      <w:pPr>
        <w:snapToGrid w:val="0"/>
        <w:spacing w:line="288" w:lineRule="auto"/>
        <w:ind w:left="799" w:leftChars="190" w:hanging="400" w:hangingChars="20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C9C5635">
      <w:pPr>
        <w:snapToGrid w:val="0"/>
        <w:spacing w:line="288" w:lineRule="auto"/>
        <w:ind w:left="799" w:leftChars="190" w:hanging="400" w:hanging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教材：</w:t>
      </w:r>
    </w:p>
    <w:p w14:paraId="7C4C6713">
      <w:pPr>
        <w:snapToGrid w:val="0"/>
        <w:spacing w:line="288" w:lineRule="auto"/>
        <w:ind w:left="799" w:leftChars="190" w:hanging="400" w:hangingChars="200"/>
        <w:rPr>
          <w:rFonts w:hint="default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学前儿童游戏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邱学青主编 江苏凤凰教育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2022年4月</w:t>
      </w:r>
      <w:r>
        <w:rPr>
          <w:rFonts w:hint="eastAsia"/>
          <w:color w:val="000000"/>
          <w:sz w:val="20"/>
          <w:szCs w:val="20"/>
        </w:rPr>
        <w:t>】</w:t>
      </w:r>
    </w:p>
    <w:p w14:paraId="0EDF5247">
      <w:pPr>
        <w:snapToGrid w:val="0"/>
        <w:spacing w:line="288" w:lineRule="auto"/>
        <w:ind w:left="799" w:leftChars="190" w:hanging="400" w:hangingChars="200"/>
        <w:rPr>
          <w:rFonts w:hint="eastAsia"/>
          <w:color w:val="000000"/>
          <w:sz w:val="20"/>
          <w:szCs w:val="20"/>
          <w:highlight w:val="none"/>
          <w:lang w:eastAsia="zh-CN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：</w:t>
      </w:r>
    </w:p>
    <w:p w14:paraId="4B50B4BD"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</w:rPr>
        <w:t>幼儿园游戏指导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</w:rPr>
        <w:t>邱学青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</w:t>
      </w:r>
      <w:r>
        <w:rPr>
          <w:rFonts w:hint="eastAsia"/>
          <w:color w:val="000000"/>
          <w:sz w:val="20"/>
          <w:szCs w:val="20"/>
          <w:highlight w:val="none"/>
        </w:rPr>
        <w:t xml:space="preserve"> 人民教育出版社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/>
          <w:color w:val="000000"/>
          <w:sz w:val="20"/>
          <w:szCs w:val="20"/>
          <w:highlight w:val="none"/>
        </w:rPr>
        <w:t>201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eastAsia"/>
          <w:color w:val="000000"/>
          <w:sz w:val="20"/>
          <w:szCs w:val="20"/>
          <w:highlight w:val="none"/>
        </w:rPr>
        <w:t>年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12月</w:t>
      </w:r>
      <w:r>
        <w:rPr>
          <w:color w:val="000000"/>
          <w:sz w:val="20"/>
          <w:szCs w:val="20"/>
          <w:highlight w:val="none"/>
        </w:rPr>
        <w:t>】</w:t>
      </w:r>
    </w:p>
    <w:p w14:paraId="1A0780CF"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儿童游戏通论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CN"/>
        </w:rPr>
        <w:t>刘焱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 北京师范大学出版社，2014年12月</w:t>
      </w:r>
      <w:r>
        <w:rPr>
          <w:color w:val="000000"/>
          <w:sz w:val="20"/>
          <w:szCs w:val="20"/>
          <w:highlight w:val="none"/>
        </w:rPr>
        <w:t>】</w:t>
      </w:r>
    </w:p>
    <w:p w14:paraId="03B62628"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幼儿园游戏与指导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CN"/>
        </w:rPr>
        <w:t>刘焱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 高等教育出版社，2012年9月</w:t>
      </w:r>
      <w:r>
        <w:rPr>
          <w:color w:val="000000"/>
          <w:sz w:val="20"/>
          <w:szCs w:val="20"/>
          <w:highlight w:val="none"/>
        </w:rPr>
        <w:t>】</w:t>
      </w:r>
    </w:p>
    <w:p w14:paraId="28126C53">
      <w:pPr>
        <w:snapToGrid w:val="0"/>
        <w:spacing w:line="288" w:lineRule="auto"/>
        <w:ind w:firstLine="392" w:firstLineChars="196"/>
        <w:jc w:val="left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7159245">
      <w:pPr>
        <w:snapToGrid w:val="0"/>
        <w:spacing w:line="288" w:lineRule="auto"/>
        <w:ind w:firstLine="392" w:firstLineChars="196"/>
        <w:jc w:val="left"/>
        <w:rPr>
          <w:rFonts w:hint="eastAsia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https://www.icourse163.org/course/YAPT-1206301815?from=searchPage</w:t>
      </w:r>
    </w:p>
    <w:p w14:paraId="7D757243">
      <w:pPr>
        <w:adjustRightInd w:val="0"/>
        <w:snapToGrid w:val="0"/>
        <w:spacing w:line="288" w:lineRule="auto"/>
        <w:ind w:left="1402" w:leftChars="190" w:hanging="1003" w:hangingChars="50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《学前儿童卫生与保健》2130015（2）；《学前教育学》2130014（2）；《学前儿童发展科学》2130016（2）</w:t>
      </w:r>
      <w:r>
        <w:rPr>
          <w:color w:val="000000"/>
          <w:sz w:val="20"/>
          <w:szCs w:val="20"/>
        </w:rPr>
        <w:t>】</w:t>
      </w:r>
    </w:p>
    <w:p w14:paraId="29990541"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2BF21EBE">
      <w:pPr>
        <w:widowControl/>
        <w:spacing w:beforeLines="50" w:afterLines="50" w:line="288" w:lineRule="auto"/>
        <w:ind w:firstLine="300" w:firstLineChars="150"/>
        <w:jc w:val="both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幼儿园</w:t>
      </w:r>
      <w:r>
        <w:rPr>
          <w:rFonts w:hint="eastAsia"/>
          <w:color w:val="000000"/>
          <w:sz w:val="20"/>
          <w:szCs w:val="20"/>
        </w:rPr>
        <w:t>游戏是学前教育专业的一门专业基础及核心课程，是为培养学前教育专业学生而设置，在学前教育阶段，游戏是幼儿的基本活动，也是幼儿园的基本活动。该课程的理论性和实践性并存，在充实学生相关学前游戏理论知识的同时，强化教育实践意识，注重引导学生关注学前教育现实问题，了解当前教育实践中对于幼儿园教师的新要求。因此该课程的设置是培养一个真正幼儿园教师的重要前提之一，引导未来教师树立科学的游戏观、儿童观和教育观，形成合理的学前教育的理想和信念，掌握从事学前教育工作必备的专业知识与能力，为从事幼儿教育工作奠定基础。本课程旨在帮助学生全面理解与掌握学前儿童游戏的基本理论、基本知识，掌握设计与组织幼儿园游戏活动的基本技能。</w:t>
      </w:r>
    </w:p>
    <w:p w14:paraId="4EBF0EE2"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5F943F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400" w:firstLineChars="200"/>
        <w:jc w:val="both"/>
        <w:textAlignment w:val="auto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</w:rPr>
        <w:t>本课程建议学前教育专业的三年级学生修课。</w:t>
      </w:r>
    </w:p>
    <w:p w14:paraId="7F809C57"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 w14:paraId="6BDA0CB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5B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E63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 w14:paraId="121A5208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C3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 w14:paraId="6FEC0A7B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6310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jc w:val="left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B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 w14:paraId="5DF7F58B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0B5B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B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仿宋" w:hAnsi="仿宋" w:eastAsia="仿宋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45282F61"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F356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9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 w14:paraId="507B6ADD"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2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 w14:paraId="6579CAA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6C76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A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仿宋" w:hAnsi="仿宋" w:eastAsia="仿宋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0F258B7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DB8C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A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 w14:paraId="273D5067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396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E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 w14:paraId="522E0FA1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8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 w14:paraId="04AE570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37C2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F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 w14:paraId="1CE993A7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62F1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A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 w14:paraId="51AEE78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6438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7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 w14:paraId="468F4ACA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E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 w14:paraId="0B187F6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3B7B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1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52FF689A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62E3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4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0282504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0A33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0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66D1DE77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A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 w14:paraId="5A852B1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7200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F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25D3080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6F63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3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5B72E02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50E6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E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5E45A4A0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E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 w14:paraId="169FE67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3551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C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57AE801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A2DD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2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3F4F999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120E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A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3AE1293C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6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 w14:paraId="0366B2F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D70F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6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74BA1BC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D262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6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43773C5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2FB9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A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45CFE4ED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D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 w14:paraId="7DD1F64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87AD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9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4633F337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4AFD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2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1DAD9616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29BD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C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7391E0B5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7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 w14:paraId="3BF4B1B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0821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5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3F2867D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E8C5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6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4CFCE5B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876D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3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3A502DDD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3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 w14:paraId="0A82A15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14BA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C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68CCB27A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C5C1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F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 w14:paraId="419D965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EE4C"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0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C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</w:tbl>
    <w:p w14:paraId="76D12754"/>
    <w:p w14:paraId="11868481">
      <w:pP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备注：LO=learning outcomes（学习成果）</w:t>
      </w:r>
    </w:p>
    <w:p w14:paraId="1F698120"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  <w:u w:val="none"/>
        </w:rPr>
      </w:pPr>
      <w:r>
        <w:rPr>
          <w:rFonts w:hint="eastAsia" w:ascii="黑体" w:hAnsi="宋体" w:eastAsia="黑体"/>
          <w:sz w:val="24"/>
          <w:highlight w:val="none"/>
          <w:u w:val="none"/>
        </w:rPr>
        <w:t>五、</w:t>
      </w:r>
      <w:r>
        <w:rPr>
          <w:rFonts w:ascii="黑体" w:hAnsi="宋体" w:eastAsia="黑体"/>
          <w:sz w:val="24"/>
          <w:highlight w:val="none"/>
          <w:u w:val="none"/>
        </w:rPr>
        <w:t>课程</w:t>
      </w:r>
      <w:r>
        <w:rPr>
          <w:rFonts w:hint="eastAsia" w:ascii="黑体" w:hAnsi="宋体" w:eastAsia="黑体"/>
          <w:sz w:val="24"/>
          <w:highlight w:val="none"/>
          <w:u w:val="none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884"/>
      </w:tblGrid>
      <w:tr w14:paraId="1B96E19B">
        <w:tc>
          <w:tcPr>
            <w:tcW w:w="535" w:type="dxa"/>
            <w:shd w:val="clear" w:color="auto" w:fill="auto"/>
          </w:tcPr>
          <w:p w14:paraId="55825B6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65720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 w14:paraId="542AC25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575D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 w14:paraId="0BED282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F181FA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FE4F93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 w14:paraId="2602CAC0">
        <w:tc>
          <w:tcPr>
            <w:tcW w:w="535" w:type="dxa"/>
            <w:shd w:val="clear" w:color="auto" w:fill="auto"/>
          </w:tcPr>
          <w:p w14:paraId="35A6B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21EA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121</w:t>
            </w:r>
          </w:p>
        </w:tc>
        <w:tc>
          <w:tcPr>
            <w:tcW w:w="2470" w:type="dxa"/>
            <w:shd w:val="clear" w:color="auto" w:fill="auto"/>
          </w:tcPr>
          <w:p w14:paraId="253C2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使学生进一步加深对学前教育阶段特殊性与幼儿特殊性的认识，培养与提高学生从事幼儿教育工作的素质和能力，充实幼儿师资队伍，提高保教质量，推进科学保教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14:paraId="7B016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 w14:paraId="44A7B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 w14:paraId="0F736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 w14:paraId="444C5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 w14:paraId="53C7C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  <w:tr w14:paraId="6E0017B3">
        <w:tc>
          <w:tcPr>
            <w:tcW w:w="535" w:type="dxa"/>
            <w:shd w:val="clear" w:color="auto" w:fill="auto"/>
          </w:tcPr>
          <w:p w14:paraId="2C76A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D87BA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222</w:t>
            </w:r>
          </w:p>
        </w:tc>
        <w:tc>
          <w:tcPr>
            <w:tcW w:w="2470" w:type="dxa"/>
            <w:shd w:val="clear" w:color="auto" w:fill="auto"/>
          </w:tcPr>
          <w:p w14:paraId="6C32E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使学生了解儿童游戏的相关理论学说及游戏的教育作用，在理解游戏的本质特征的基础上，深刻认识幼儿游戏的特点，认识游戏教育在学前教育中的重要意义，树立正确的学前教育观念。</w:t>
            </w:r>
          </w:p>
        </w:tc>
        <w:tc>
          <w:tcPr>
            <w:tcW w:w="2199" w:type="dxa"/>
            <w:shd w:val="clear" w:color="auto" w:fill="auto"/>
          </w:tcPr>
          <w:p w14:paraId="495F5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 w14:paraId="31057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 w14:paraId="689D9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 w14:paraId="4C910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 w14:paraId="54A88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  <w:tr w14:paraId="6E057274">
        <w:tc>
          <w:tcPr>
            <w:tcW w:w="535" w:type="dxa"/>
            <w:shd w:val="clear" w:color="auto" w:fill="auto"/>
          </w:tcPr>
          <w:p w14:paraId="7CE17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0FF40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322</w:t>
            </w:r>
          </w:p>
        </w:tc>
        <w:tc>
          <w:tcPr>
            <w:tcW w:w="2470" w:type="dxa"/>
            <w:shd w:val="clear" w:color="auto" w:fill="auto"/>
          </w:tcPr>
          <w:p w14:paraId="7534F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能根据各类游戏的特点幼儿发展的实际水平指导幼儿游戏；能较好地运用游戏形式组织幼儿的教育教学活动。使学生掌握一定的表演、构造等基本游戏技能，掌握设计与创编游戏的基本方法，初步具各创编各类教学游戏的能力。</w:t>
            </w:r>
          </w:p>
        </w:tc>
        <w:tc>
          <w:tcPr>
            <w:tcW w:w="2199" w:type="dxa"/>
            <w:shd w:val="clear" w:color="auto" w:fill="auto"/>
          </w:tcPr>
          <w:p w14:paraId="0FCF7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 w14:paraId="38A70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 w14:paraId="64533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 w14:paraId="750AF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 w14:paraId="061CB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</w:tbl>
    <w:p w14:paraId="0B368165"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 w14:paraId="577B84E1">
      <w:pPr>
        <w:widowControl/>
        <w:numPr>
          <w:ilvl w:val="0"/>
          <w:numId w:val="0"/>
        </w:numPr>
        <w:spacing w:beforeLines="50" w:afterLines="50" w:line="288" w:lineRule="auto"/>
        <w:ind w:left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tbl>
      <w:tblPr>
        <w:tblStyle w:val="7"/>
        <w:tblW w:w="8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950"/>
        <w:gridCol w:w="2210"/>
        <w:gridCol w:w="2196"/>
      </w:tblGrid>
      <w:tr w14:paraId="3275B319">
        <w:trPr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E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单元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B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知识点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0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能力要求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6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教学难点</w:t>
            </w:r>
          </w:p>
        </w:tc>
      </w:tr>
      <w:tr w14:paraId="56FC6ADC">
        <w:trPr>
          <w:trHeight w:val="55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3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第一单元</w:t>
            </w:r>
          </w:p>
          <w:p w14:paraId="49521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游戏及其特征</w:t>
            </w:r>
          </w:p>
          <w:p w14:paraId="27809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F16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游戏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定义</w:t>
            </w:r>
          </w:p>
          <w:p w14:paraId="385E9440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游戏的特征</w:t>
            </w:r>
          </w:p>
          <w:p w14:paraId="69981482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儿童游戏的特质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A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了解游戏的文化含义2. 在了解含义的基础上理解幼儿游戏的特点</w:t>
            </w:r>
          </w:p>
          <w:p w14:paraId="54F5F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掌握判断幼儿游戏的基本标准、游戏在促进幼儿身体、认知、语言、社会性及其情绪情感的发展价值。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0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掌握幼儿游戏之于幼儿的发展价值</w:t>
            </w:r>
          </w:p>
          <w:p w14:paraId="55C57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判断幼儿进行的活动是否是真游戏</w:t>
            </w:r>
          </w:p>
        </w:tc>
      </w:tr>
      <w:tr w14:paraId="34C77BB9">
        <w:trPr>
          <w:trHeight w:val="2254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8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第二单元</w:t>
            </w:r>
          </w:p>
          <w:p w14:paraId="0E297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游戏与儿童身心发展</w:t>
            </w:r>
          </w:p>
          <w:p w14:paraId="7C5AD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E8B5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游戏与儿童认知的发展</w:t>
            </w:r>
          </w:p>
          <w:p w14:paraId="7E5209D6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游戏与儿童社会性发展</w:t>
            </w:r>
          </w:p>
          <w:p w14:paraId="4E9789EF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游戏与儿童情绪情感的发展</w:t>
            </w:r>
          </w:p>
          <w:p w14:paraId="3B19AE36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游戏与儿童身体发展</w:t>
            </w:r>
          </w:p>
          <w:p w14:paraId="4C56F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 w14:paraId="5D29E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 w14:paraId="50E40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 w14:paraId="732B1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 w14:paraId="55727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1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.游戏的特征、分类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及其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影响因素。 </w:t>
            </w:r>
          </w:p>
          <w:p w14:paraId="6CF34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.游戏的多元价值；影响游戏开展的因素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。</w:t>
            </w:r>
          </w:p>
        </w:tc>
      </w:tr>
      <w:tr w14:paraId="39D04B98">
        <w:trPr>
          <w:trHeight w:val="240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6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第三单元</w:t>
            </w:r>
          </w:p>
          <w:p w14:paraId="2788CA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游戏的理论流派</w:t>
            </w:r>
          </w:p>
          <w:p w14:paraId="7BD2B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48C4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经典的游戏理论</w:t>
            </w:r>
          </w:p>
          <w:p w14:paraId="43969D7A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精神分析学派的游戏理论</w:t>
            </w:r>
          </w:p>
          <w:p w14:paraId="3D08318A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认知发展学派的游戏理论</w:t>
            </w:r>
          </w:p>
          <w:p w14:paraId="300E754B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社会文化历史学派的游戏理论</w:t>
            </w:r>
          </w:p>
          <w:p w14:paraId="1C4F3847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游戏的觉醒理论</w:t>
            </w:r>
          </w:p>
          <w:p w14:paraId="05BB00A2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游戏的元交际理论</w:t>
            </w:r>
          </w:p>
          <w:p w14:paraId="7BBAF972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游戏的生态学理论</w:t>
            </w:r>
          </w:p>
          <w:p w14:paraId="1265D578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其他的游戏研究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D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了解各种游戏理论的基本观点；</w:t>
            </w:r>
          </w:p>
          <w:p w14:paraId="06EBAE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进一步认识和理解儿童游戏的重要意义；</w:t>
            </w:r>
          </w:p>
          <w:p w14:paraId="0102A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掌握运用不同的游戏理论观察和解释儿童的游戏活动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B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掌握运用不同的游戏理论观察和解释儿童的游戏活动</w:t>
            </w:r>
          </w:p>
        </w:tc>
      </w:tr>
      <w:tr w14:paraId="306DED88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E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第四单元</w:t>
            </w:r>
          </w:p>
          <w:p w14:paraId="319D7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儿童游戏的分类</w:t>
            </w:r>
          </w:p>
          <w:p w14:paraId="33E9E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6F2E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儿童游戏的分类方法</w:t>
            </w:r>
          </w:p>
          <w:p w14:paraId="4A3722B5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幼儿园游戏分类</w:t>
            </w:r>
          </w:p>
          <w:p w14:paraId="4AB1A010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自主性游戏</w:t>
            </w:r>
          </w:p>
          <w:p w14:paraId="2BA95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E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 w14:paraId="396D7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 w14:paraId="49726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 w14:paraId="7F429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 w14:paraId="06186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B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.游戏的特征、分类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及其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影响因素。 </w:t>
            </w:r>
          </w:p>
          <w:p w14:paraId="45F77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.游戏的多元价值；影响游戏开展的因素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。</w:t>
            </w:r>
          </w:p>
        </w:tc>
      </w:tr>
      <w:tr w14:paraId="106F9577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3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第五单元</w:t>
            </w:r>
          </w:p>
          <w:p w14:paraId="19AB2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影响儿童游戏的因素</w:t>
            </w:r>
          </w:p>
          <w:p w14:paraId="7FA4A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  <w:p w14:paraId="596DC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D7F4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外在客观条件的影响</w:t>
            </w:r>
          </w:p>
          <w:p w14:paraId="3CE3FBB8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游戏者自身条件的影响</w:t>
            </w:r>
          </w:p>
          <w:p w14:paraId="265AE23A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家庭的影响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7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 w14:paraId="0C5E0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 w14:paraId="4905A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 w14:paraId="43FB5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 w14:paraId="6C49F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6B39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外在客观条件的影响</w:t>
            </w:r>
          </w:p>
          <w:p w14:paraId="537F4161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游戏者自身条件的影响</w:t>
            </w:r>
          </w:p>
          <w:p w14:paraId="1D0D1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家庭的影响</w:t>
            </w:r>
          </w:p>
        </w:tc>
      </w:tr>
      <w:tr w14:paraId="482B47BA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6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第六单元</w:t>
            </w:r>
          </w:p>
          <w:p w14:paraId="2CC38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游戏在幼儿教育中的地位</w:t>
            </w:r>
          </w:p>
          <w:p w14:paraId="459F7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FC54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游戏在幼儿园中地位的历史演进</w:t>
            </w:r>
          </w:p>
          <w:p w14:paraId="6CDC3E14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游戏在幼儿教育中的法规地位</w:t>
            </w:r>
          </w:p>
          <w:p w14:paraId="2D6F25B9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游戏在幼儿园课程中的地位</w:t>
            </w:r>
          </w:p>
          <w:p w14:paraId="6B107C4D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幼儿园以游戏为基本活动的实现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5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 w14:paraId="16BE8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 w14:paraId="601F7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 w14:paraId="6340F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 w14:paraId="1AB27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9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民间游戏的搜集整理运用。</w:t>
            </w:r>
          </w:p>
          <w:p w14:paraId="37F2C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电子游戏的科学认知。</w:t>
            </w:r>
          </w:p>
        </w:tc>
      </w:tr>
      <w:tr w14:paraId="7358E3BB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D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第七单元</w:t>
            </w:r>
          </w:p>
          <w:p w14:paraId="4DA21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幼儿园游戏指导策略</w:t>
            </w:r>
          </w:p>
          <w:p w14:paraId="346A1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3413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教师在游戏中的作用</w:t>
            </w:r>
          </w:p>
          <w:p w14:paraId="5C7B4A8D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参与介入游戏</w:t>
            </w:r>
          </w:p>
          <w:p w14:paraId="2B584B85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通过讨论的建构指导</w:t>
            </w:r>
          </w:p>
          <w:p w14:paraId="76F90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3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了解幼儿园以游戏为基本活动的实践含义，讨论幼儿园小学化现象可能会带来的负面影响</w:t>
            </w:r>
          </w:p>
          <w:p w14:paraId="02827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理解幼儿园游戏的特点、分类，幼儿园以游戏为基本活动的目的及其必要性</w:t>
            </w:r>
          </w:p>
          <w:p w14:paraId="2D440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掌握建构以游戏为基本活动的幼儿园课程的基本方法。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0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了解幼儿园以游戏为基本活动的实践含义，讨论幼儿园小学化现象可能会带来的负面影响</w:t>
            </w:r>
          </w:p>
          <w:p w14:paraId="129138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理解幼儿园游戏的特点、分类，幼儿园以游戏为基本活动的目的及其必要性</w:t>
            </w:r>
          </w:p>
          <w:p w14:paraId="57960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0D5C99F0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2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第八单元</w:t>
            </w:r>
          </w:p>
          <w:p w14:paraId="5BB33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 w14:paraId="0312A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5B09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游戏环境的概念</w:t>
            </w:r>
          </w:p>
          <w:p w14:paraId="0CD9E4FE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游戏空间规划的模式</w:t>
            </w:r>
          </w:p>
          <w:p w14:paraId="3BC47A71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 w14:paraId="41E5432B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游戏环境的评价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0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 w14:paraId="31054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 w14:paraId="6847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 w14:paraId="3AB02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 w14:paraId="5671C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8825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游戏环境的概念</w:t>
            </w:r>
          </w:p>
          <w:p w14:paraId="5F15560A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游戏空间规划的模式</w:t>
            </w:r>
          </w:p>
          <w:p w14:paraId="3381E7D3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 w14:paraId="6EB5C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游戏环境的评价</w:t>
            </w:r>
          </w:p>
        </w:tc>
      </w:tr>
      <w:tr w14:paraId="403EFAFA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4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第九单元</w:t>
            </w:r>
          </w:p>
          <w:p w14:paraId="3EF37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玩具和游戏材料</w:t>
            </w:r>
          </w:p>
          <w:p w14:paraId="13A9D0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54F0"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玩具概述</w:t>
            </w:r>
          </w:p>
          <w:p w14:paraId="796AC68A"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玩具及游戏材料的提供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1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了解玩具的功能和分类，幼儿园玩教具的配备要求；</w:t>
            </w:r>
          </w:p>
          <w:p w14:paraId="443E2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理解选择玩具的原则与方法；</w:t>
            </w:r>
          </w:p>
          <w:p w14:paraId="043EE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掌握不同年龄段幼儿的适宜玩具并进行选择与利用。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5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理解选择玩具的原则与方法</w:t>
            </w:r>
          </w:p>
          <w:p w14:paraId="2BFC9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掌握不同年龄段幼儿的适宜玩具并进行选择与利用</w:t>
            </w:r>
          </w:p>
        </w:tc>
      </w:tr>
      <w:tr w14:paraId="7C281442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2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第十单元</w:t>
            </w:r>
          </w:p>
          <w:p w14:paraId="32F5A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游戏观察指导</w:t>
            </w:r>
          </w:p>
          <w:p w14:paraId="730C9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32C2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观察的意义</w:t>
            </w:r>
          </w:p>
          <w:p w14:paraId="5E4B4E86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观察游戏评价量表</w:t>
            </w:r>
          </w:p>
          <w:p w14:paraId="0646B8AE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幼儿园游戏观察的方法</w:t>
            </w:r>
          </w:p>
          <w:p w14:paraId="462DFFAC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游戏观察结果分析</w:t>
            </w:r>
          </w:p>
          <w:p w14:paraId="2B7FC0BA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目标儿童观察记录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E2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重点掌握对观察结果的解释、运用以及评价幼儿游戏的方法</w:t>
            </w:r>
          </w:p>
          <w:p w14:paraId="2A015B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学会使用并掌握几种典型的游戏观察量表</w:t>
            </w:r>
          </w:p>
          <w:p w14:paraId="36590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通过对幼儿园游戏观察案例的分析，形成初步的观察、分析与评价幼儿游戏的能力。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5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学会使用并掌握几种典型的游戏观察量表；重点掌握对观察结果的解释、运用以及评价幼儿游戏的方法</w:t>
            </w:r>
          </w:p>
          <w:p w14:paraId="7451A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通过对幼儿园游戏观察案例的分析，形成初步的观察、分析与评价幼</w:t>
            </w:r>
          </w:p>
          <w:p w14:paraId="29944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儿游戏的能力。</w:t>
            </w:r>
          </w:p>
        </w:tc>
      </w:tr>
      <w:tr w14:paraId="68415045"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9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第十一单元</w:t>
            </w:r>
          </w:p>
          <w:p w14:paraId="3C409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幼儿园各类游戏的指导</w:t>
            </w:r>
          </w:p>
          <w:p w14:paraId="02A17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0F42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幼儿园游戏的特点</w:t>
            </w:r>
          </w:p>
          <w:p w14:paraId="2B23A647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角色游戏的指导</w:t>
            </w:r>
          </w:p>
          <w:p w14:paraId="2EE537EA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结构游戏的指导</w:t>
            </w:r>
          </w:p>
          <w:p w14:paraId="51D633A1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表演游戏的指导</w:t>
            </w:r>
          </w:p>
          <w:p w14:paraId="369D3CAD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规则游戏的指导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1E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了解区域游戏活动是区域活动的重要组成部分，在幼儿园保教活动的价值</w:t>
            </w:r>
          </w:p>
          <w:p w14:paraId="58928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理解区域游戏的环境创设与指导的基本方法和原则</w:t>
            </w:r>
          </w:p>
          <w:p w14:paraId="6A573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掌握角色游戏、表演游戏的特点以及组织与指导的方法，积木游戏的种类以及组织与指导的方法。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04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明确幼儿园以游戏为基本活动，幼儿的基本活动是游戏</w:t>
            </w:r>
          </w:p>
          <w:p w14:paraId="290A0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2.掌握建构以游戏为基本活动的幼儿园课程的基本方法</w:t>
            </w:r>
          </w:p>
        </w:tc>
      </w:tr>
    </w:tbl>
    <w:p w14:paraId="01D717A4"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 w14:paraId="65C160EC"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 w14:paraId="48FB92BD">
      <w:pPr>
        <w:numPr>
          <w:ilvl w:val="0"/>
          <w:numId w:val="0"/>
        </w:numPr>
        <w:snapToGrid w:val="0"/>
        <w:spacing w:line="288" w:lineRule="auto"/>
        <w:ind w:leftChars="0" w:right="2520" w:rightChars="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七、</w:t>
      </w:r>
      <w:r>
        <w:rPr>
          <w:rFonts w:hint="eastAsia" w:ascii="黑体" w:hAnsi="宋体" w:eastAsia="黑体"/>
          <w:sz w:val="24"/>
          <w:highlight w:val="none"/>
        </w:rPr>
        <w:t>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33B530FE">
        <w:tc>
          <w:tcPr>
            <w:tcW w:w="1809" w:type="dxa"/>
            <w:shd w:val="clear" w:color="auto" w:fill="auto"/>
          </w:tcPr>
          <w:p w14:paraId="55460201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1+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698E956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0B5BD6E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 w14:paraId="4ABBABD5">
        <w:tc>
          <w:tcPr>
            <w:tcW w:w="1809" w:type="dxa"/>
            <w:shd w:val="clear" w:color="auto" w:fill="auto"/>
          </w:tcPr>
          <w:p w14:paraId="0A1AF2D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D8FAEB8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D080219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015ABC40">
        <w:tc>
          <w:tcPr>
            <w:tcW w:w="1809" w:type="dxa"/>
            <w:shd w:val="clear" w:color="auto" w:fill="auto"/>
          </w:tcPr>
          <w:p w14:paraId="7AEAE78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63B6C5E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495A9FF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 w14:paraId="3D298F9C">
        <w:tc>
          <w:tcPr>
            <w:tcW w:w="1809" w:type="dxa"/>
            <w:shd w:val="clear" w:color="auto" w:fill="auto"/>
          </w:tcPr>
          <w:p w14:paraId="3F7E7A4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9AFED5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971F4C6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1ADF994F">
        <w:tc>
          <w:tcPr>
            <w:tcW w:w="1809" w:type="dxa"/>
            <w:shd w:val="clear" w:color="auto" w:fill="auto"/>
          </w:tcPr>
          <w:p w14:paraId="334A7C0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B5D8A5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37281C7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 w14:paraId="40ABDF0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35150086">
      <w:pPr>
        <w:snapToGrid w:val="0"/>
        <w:spacing w:line="288" w:lineRule="auto"/>
        <w:rPr>
          <w:rFonts w:hint="eastAsia"/>
          <w:sz w:val="28"/>
          <w:szCs w:val="28"/>
        </w:rPr>
      </w:pPr>
    </w:p>
    <w:p w14:paraId="23CB821C">
      <w:pPr>
        <w:snapToGrid w:val="0"/>
        <w:spacing w:line="288" w:lineRule="auto"/>
        <w:rPr>
          <w:rFonts w:hint="eastAsia"/>
          <w:sz w:val="28"/>
          <w:szCs w:val="28"/>
        </w:rPr>
      </w:pPr>
    </w:p>
    <w:p w14:paraId="6E3F5B8F">
      <w:pPr>
        <w:spacing w:line="288" w:lineRule="auto"/>
        <w:jc w:val="center"/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马嘉玉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步社民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023-9-14</w:t>
      </w:r>
    </w:p>
    <w:p w14:paraId="075CE3F4">
      <w:pPr>
        <w:snapToGrid w:val="0"/>
        <w:spacing w:line="288" w:lineRule="auto"/>
        <w:rPr>
          <w:sz w:val="28"/>
          <w:szCs w:val="28"/>
        </w:rPr>
      </w:pPr>
    </w:p>
    <w:p w14:paraId="3E850BD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78A72"/>
    <w:multiLevelType w:val="singleLevel"/>
    <w:tmpl w:val="85B78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20CAAD"/>
    <w:multiLevelType w:val="singleLevel"/>
    <w:tmpl w:val="A020C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941499"/>
    <w:multiLevelType w:val="singleLevel"/>
    <w:tmpl w:val="AB941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931889"/>
    <w:multiLevelType w:val="singleLevel"/>
    <w:tmpl w:val="AF931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3A2AD98"/>
    <w:multiLevelType w:val="singleLevel"/>
    <w:tmpl w:val="B3A2A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72E475F"/>
    <w:multiLevelType w:val="singleLevel"/>
    <w:tmpl w:val="C72E47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26ED378"/>
    <w:multiLevelType w:val="singleLevel"/>
    <w:tmpl w:val="D26ED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23A43BB"/>
    <w:multiLevelType w:val="singleLevel"/>
    <w:tmpl w:val="F23A43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682FBF"/>
    <w:multiLevelType w:val="singleLevel"/>
    <w:tmpl w:val="F6682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656EE4"/>
    <w:multiLevelType w:val="singleLevel"/>
    <w:tmpl w:val="FB656E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BADD652"/>
    <w:multiLevelType w:val="singleLevel"/>
    <w:tmpl w:val="1BADD6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4102320D"/>
    <w:multiLevelType w:val="singleLevel"/>
    <w:tmpl w:val="41023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0F400B3"/>
    <w:rsid w:val="016E63C2"/>
    <w:rsid w:val="024B0C39"/>
    <w:rsid w:val="028746D1"/>
    <w:rsid w:val="029472E3"/>
    <w:rsid w:val="029849F2"/>
    <w:rsid w:val="02E66B31"/>
    <w:rsid w:val="031F6D36"/>
    <w:rsid w:val="035E1A55"/>
    <w:rsid w:val="069809AB"/>
    <w:rsid w:val="08CB40D2"/>
    <w:rsid w:val="0A8128A6"/>
    <w:rsid w:val="0AA95014"/>
    <w:rsid w:val="0AE074A7"/>
    <w:rsid w:val="0B0C7126"/>
    <w:rsid w:val="0B874C72"/>
    <w:rsid w:val="0BF32A1B"/>
    <w:rsid w:val="0C0A5EAB"/>
    <w:rsid w:val="0C3B03C9"/>
    <w:rsid w:val="0C6D2071"/>
    <w:rsid w:val="0C7708D0"/>
    <w:rsid w:val="0D0201FA"/>
    <w:rsid w:val="0DD95C10"/>
    <w:rsid w:val="0E252C04"/>
    <w:rsid w:val="0F9A317D"/>
    <w:rsid w:val="0FF375D3"/>
    <w:rsid w:val="0FFF2EBC"/>
    <w:rsid w:val="10BD2C22"/>
    <w:rsid w:val="11DA39B1"/>
    <w:rsid w:val="12895596"/>
    <w:rsid w:val="12AD640F"/>
    <w:rsid w:val="14290027"/>
    <w:rsid w:val="15267582"/>
    <w:rsid w:val="16785B46"/>
    <w:rsid w:val="167D4736"/>
    <w:rsid w:val="16C23AE4"/>
    <w:rsid w:val="195C472F"/>
    <w:rsid w:val="1A6A1E4D"/>
    <w:rsid w:val="1AC15A62"/>
    <w:rsid w:val="1AE55BF8"/>
    <w:rsid w:val="1B5106C2"/>
    <w:rsid w:val="1CF047C3"/>
    <w:rsid w:val="1CFC31D9"/>
    <w:rsid w:val="1D32570E"/>
    <w:rsid w:val="1F6D61B8"/>
    <w:rsid w:val="21215B67"/>
    <w:rsid w:val="223260A5"/>
    <w:rsid w:val="22987C80"/>
    <w:rsid w:val="23B92B84"/>
    <w:rsid w:val="24192CCC"/>
    <w:rsid w:val="25767D13"/>
    <w:rsid w:val="27F82CDF"/>
    <w:rsid w:val="28A04D60"/>
    <w:rsid w:val="28AC73D6"/>
    <w:rsid w:val="29791A1F"/>
    <w:rsid w:val="29E47F06"/>
    <w:rsid w:val="2B3637A2"/>
    <w:rsid w:val="2B683CD8"/>
    <w:rsid w:val="2C877C79"/>
    <w:rsid w:val="2D531E3D"/>
    <w:rsid w:val="2E6D6562"/>
    <w:rsid w:val="2E88368A"/>
    <w:rsid w:val="32833F5C"/>
    <w:rsid w:val="32A25D21"/>
    <w:rsid w:val="32EB18BC"/>
    <w:rsid w:val="346F5859"/>
    <w:rsid w:val="369E463E"/>
    <w:rsid w:val="36BC35F6"/>
    <w:rsid w:val="38392C84"/>
    <w:rsid w:val="39A66CD4"/>
    <w:rsid w:val="3A376970"/>
    <w:rsid w:val="3A531190"/>
    <w:rsid w:val="3CD52CE1"/>
    <w:rsid w:val="3D2911F5"/>
    <w:rsid w:val="3D91437B"/>
    <w:rsid w:val="3F23405E"/>
    <w:rsid w:val="410F2E6A"/>
    <w:rsid w:val="41450BAE"/>
    <w:rsid w:val="41CC2DBB"/>
    <w:rsid w:val="4280751D"/>
    <w:rsid w:val="43853550"/>
    <w:rsid w:val="4430136C"/>
    <w:rsid w:val="446921BB"/>
    <w:rsid w:val="45FF385E"/>
    <w:rsid w:val="47035BC0"/>
    <w:rsid w:val="471A4106"/>
    <w:rsid w:val="473C453F"/>
    <w:rsid w:val="47C32841"/>
    <w:rsid w:val="4961517A"/>
    <w:rsid w:val="4AB0382B"/>
    <w:rsid w:val="4D910A94"/>
    <w:rsid w:val="4E84164D"/>
    <w:rsid w:val="4ECB4B55"/>
    <w:rsid w:val="50147A5C"/>
    <w:rsid w:val="53075102"/>
    <w:rsid w:val="53330B72"/>
    <w:rsid w:val="535C09BE"/>
    <w:rsid w:val="569868B5"/>
    <w:rsid w:val="56F664B8"/>
    <w:rsid w:val="571C6C17"/>
    <w:rsid w:val="58D14946"/>
    <w:rsid w:val="59554FEC"/>
    <w:rsid w:val="5A1A0B70"/>
    <w:rsid w:val="5B3A180F"/>
    <w:rsid w:val="5B4F61DD"/>
    <w:rsid w:val="5BA21463"/>
    <w:rsid w:val="5CFC2CB8"/>
    <w:rsid w:val="60432042"/>
    <w:rsid w:val="611F6817"/>
    <w:rsid w:val="61377DF9"/>
    <w:rsid w:val="6234614A"/>
    <w:rsid w:val="62522A10"/>
    <w:rsid w:val="62AA216C"/>
    <w:rsid w:val="62C531E2"/>
    <w:rsid w:val="63805BE3"/>
    <w:rsid w:val="650E0CB8"/>
    <w:rsid w:val="66CA1754"/>
    <w:rsid w:val="673C5693"/>
    <w:rsid w:val="68554F54"/>
    <w:rsid w:val="69A52104"/>
    <w:rsid w:val="6A786D8C"/>
    <w:rsid w:val="6AC22F2E"/>
    <w:rsid w:val="6AC477B9"/>
    <w:rsid w:val="6F1E65D4"/>
    <w:rsid w:val="6F266C86"/>
    <w:rsid w:val="6F5042C2"/>
    <w:rsid w:val="6F930B9D"/>
    <w:rsid w:val="71C30822"/>
    <w:rsid w:val="71C47EB4"/>
    <w:rsid w:val="721F78E8"/>
    <w:rsid w:val="72A02CEF"/>
    <w:rsid w:val="72C01501"/>
    <w:rsid w:val="734F2ADA"/>
    <w:rsid w:val="74316312"/>
    <w:rsid w:val="752071C4"/>
    <w:rsid w:val="752A62B7"/>
    <w:rsid w:val="76415C9D"/>
    <w:rsid w:val="77336515"/>
    <w:rsid w:val="780F13C8"/>
    <w:rsid w:val="78961451"/>
    <w:rsid w:val="792E0A8D"/>
    <w:rsid w:val="793F5D8A"/>
    <w:rsid w:val="796B57AB"/>
    <w:rsid w:val="79F453D1"/>
    <w:rsid w:val="7BAC57D1"/>
    <w:rsid w:val="7C385448"/>
    <w:rsid w:val="7CB3663D"/>
    <w:rsid w:val="7FFFC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2955</Words>
  <Characters>3304</Characters>
  <Lines>1</Lines>
  <Paragraphs>1</Paragraphs>
  <TotalTime>0</TotalTime>
  <ScaleCrop>false</ScaleCrop>
  <LinksUpToDate>false</LinksUpToDate>
  <CharactersWithSpaces>3352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leee</cp:lastModifiedBy>
  <cp:lastPrinted>2021-04-30T16:48:00Z</cp:lastPrinted>
  <dcterms:modified xsi:type="dcterms:W3CDTF">2024-10-11T22:50:22Z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F73A809864F6491992E708FF35313AD6_13</vt:lpwstr>
  </property>
</Properties>
</file>