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【文学作品欣赏】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literary works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2038066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2学分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  <w:lang w:val="en-US" w:eastAsia="zh-CN"/>
        </w:rPr>
        <w:t>通识教育</w:t>
      </w:r>
      <w:r>
        <w:rPr>
          <w:rFonts w:hint="eastAsia"/>
          <w:color w:val="000000"/>
          <w:sz w:val="20"/>
          <w:szCs w:val="20"/>
        </w:rPr>
        <w:t>学院</w:t>
      </w:r>
    </w:p>
    <w:p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使用教材：</w:t>
      </w:r>
    </w:p>
    <w:p>
      <w:pPr>
        <w:pStyle w:val="2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教材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【《</w:t>
      </w: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文学作品阅读与欣赏（第四版）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》</w:t>
      </w: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乔正康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，</w:t>
      </w:r>
      <w:r>
        <w:fldChar w:fldCharType="begin"/>
      </w:r>
      <w:r>
        <w:instrText xml:space="preserve"> HYPERLINK "http://search.dangdang.com/?key3=%B6%AB%B1%B1%B2%C6%BE%AD%B4%F3%D1%A7%B3%F6%B0%E6%C9%E7%D3%D0%CF%DE%D4%F0%C8%CE%B9%AB%CB%BE&amp;medium=01&amp;category_path=01.00.00.00.00.00" \t "_blank"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东北财经大学出版社有限责任公司</w:t>
      </w: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，</w:t>
      </w:r>
      <w:r>
        <w:rPr>
          <w:rFonts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2018年03月 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0"/>
          <w:szCs w:val="20"/>
        </w:rPr>
        <w:t>】</w:t>
      </w:r>
    </w:p>
    <w:p>
      <w:pPr>
        <w:snapToGrid w:val="0"/>
        <w:spacing w:line="288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参考</w:t>
      </w:r>
      <w:r>
        <w:rPr>
          <w:rFonts w:hint="eastAsia" w:ascii="Times New Roman" w:hAnsi="Times New Roman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中国现当代文学名著导读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钱理群，北京大学出版社，2015年12月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【《中国现当代文学作品选读(修订版)》肖涛、李玲</w:t>
      </w:r>
      <w:r>
        <w:rPr>
          <w:rFonts w:hint="eastAsia"/>
          <w:color w:val="000000"/>
          <w:sz w:val="20"/>
          <w:szCs w:val="20"/>
        </w:rPr>
        <w:t>，西北工业大学出版社，2014年版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bookmarkStart w:id="1" w:name="itemlist-title"/>
      <w:r>
        <w:rPr>
          <w:color w:val="000000"/>
          <w:sz w:val="20"/>
          <w:szCs w:val="20"/>
        </w:rPr>
        <w:t>外国文学作品选</w:t>
      </w:r>
      <w:bookmarkEnd w:id="1"/>
      <w:r>
        <w:rPr>
          <w:rFonts w:hint="eastAsia"/>
          <w:color w:val="000000"/>
          <w:sz w:val="20"/>
          <w:szCs w:val="20"/>
        </w:rPr>
        <w:t>》</w:t>
      </w:r>
      <w:r>
        <w:fldChar w:fldCharType="begin"/>
      </w:r>
      <w:r>
        <w:instrText xml:space="preserve"> HYPERLINK "http://search.dangdang.com/?key2=聂珍钊&amp;medium=01&amp;category_path=01.00.00.00.00.00" \o "聂珍钊 苏晖" </w:instrText>
      </w:r>
      <w:r>
        <w:fldChar w:fldCharType="separate"/>
      </w:r>
      <w:r>
        <w:rPr>
          <w:color w:val="000000"/>
          <w:sz w:val="20"/>
          <w:szCs w:val="20"/>
        </w:rPr>
        <w:t>聂珍钊</w:t>
      </w:r>
      <w:r>
        <w:rPr>
          <w:color w:val="000000"/>
          <w:sz w:val="20"/>
          <w:szCs w:val="20"/>
        </w:rPr>
        <w:fldChar w:fldCharType="end"/>
      </w:r>
      <w:bookmarkStart w:id="2" w:name="itemlist-author"/>
      <w:r>
        <w:rPr>
          <w:rFonts w:hint="eastAsia"/>
          <w:color w:val="000000"/>
          <w:sz w:val="20"/>
          <w:szCs w:val="20"/>
        </w:rPr>
        <w:t>、</w:t>
      </w:r>
      <w:r>
        <w:fldChar w:fldCharType="begin"/>
      </w:r>
      <w:r>
        <w:instrText xml:space="preserve"> HYPERLINK "http://search.dangdang.com/?key2=苏晖&amp;medium=01&amp;category_path=01.00.00.00.00.00" \o "聂珍钊 苏晖" </w:instrText>
      </w:r>
      <w:r>
        <w:fldChar w:fldCharType="separate"/>
      </w:r>
      <w:r>
        <w:rPr>
          <w:color w:val="000000"/>
          <w:sz w:val="20"/>
          <w:szCs w:val="20"/>
        </w:rPr>
        <w:t>苏晖</w:t>
      </w:r>
      <w:r>
        <w:rPr>
          <w:color w:val="000000"/>
          <w:sz w:val="20"/>
          <w:szCs w:val="20"/>
        </w:rPr>
        <w:fldChar w:fldCharType="end"/>
      </w:r>
      <w:bookmarkEnd w:id="2"/>
      <w:r>
        <w:rPr>
          <w:rFonts w:hint="eastAsia"/>
          <w:color w:val="000000"/>
          <w:sz w:val="20"/>
          <w:szCs w:val="20"/>
        </w:rPr>
        <w:t>著，</w:t>
      </w:r>
      <w:bookmarkStart w:id="3" w:name="P_cbs"/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HYPERLINK "http://search.dangdang.com/?key=&amp;key3=%B8%DF%B5%C8%BD%CC%D3%FD%B3%F6%B0%E6%C9%E7&amp;medium=01&amp;category_path=01.00.00.00.00.00" \o "高等教育出版社" </w:instrText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fldChar w:fldCharType="end"/>
      </w:r>
      <w:bookmarkEnd w:id="3"/>
      <w:r>
        <w:rPr>
          <w:rFonts w:hint="eastAsia"/>
          <w:color w:val="000000"/>
          <w:sz w:val="20"/>
          <w:szCs w:val="20"/>
        </w:rPr>
        <w:t>，2017年9月</w:t>
      </w:r>
      <w:r>
        <w:rPr>
          <w:rFonts w:ascii="Times New Roman" w:hAnsi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ttps://mooc1-1.chaoxing.com/mycourse/teachercourse?moocId=219465351&amp;clazzid=43803294&amp;edit=true&amp;v=0&amp;cpi=78698079&amp;pageHeader=0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《文学作品欣赏》这门选修课，精选了一些中国</w:t>
      </w:r>
      <w:r>
        <w:rPr>
          <w:rFonts w:hint="eastAsia"/>
          <w:sz w:val="20"/>
          <w:szCs w:val="20"/>
          <w:lang w:eastAsia="zh-CN"/>
        </w:rPr>
        <w:t>古代和</w:t>
      </w:r>
      <w:r>
        <w:rPr>
          <w:rFonts w:hint="eastAsia"/>
          <w:sz w:val="20"/>
          <w:szCs w:val="20"/>
        </w:rPr>
        <w:t>现当代著名作家</w:t>
      </w:r>
      <w:r>
        <w:rPr>
          <w:rFonts w:hint="eastAsia"/>
          <w:sz w:val="20"/>
          <w:szCs w:val="20"/>
          <w:lang w:eastAsia="zh-CN"/>
        </w:rPr>
        <w:t>作品</w:t>
      </w:r>
      <w:r>
        <w:rPr>
          <w:rFonts w:hint="eastAsia"/>
          <w:sz w:val="20"/>
          <w:szCs w:val="20"/>
        </w:rPr>
        <w:t>以及一些外国文学作品供学生学习欣赏，以拓展学生的阅读面。开设这门课的目的在于，一方面向学生传播现当代优秀文化，通过了解国内外的一些著名文学作品，对富含人文精神的代表性作品的阅读与分析灌输学生人文精神，培养学生综合性民族文化素质，增强民族责任、关爱他人、服务社会的意识；另一方面丰富学生的文学知识，提高学生文学作品的审美能力和欣赏水平，开阔视野，启迪心智，陶冶情操，开拓学生的思维空间，提高学生的创新能力，增强学生的人文素养，加强学生的人文素质教育。通过这门课程的学习，学生将对个人的成长、人生的思考等都会有一定的帮助，对学生的自主学习的精神、表达沟通的能力等方面也都会有一定的提高，以及在学习过程中培养的查阅资料、阅读能力、思考精神、写作能力等各方面也都相应地会有一定的帮助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该课程适合全校各专业年级选修，尤其建议喜爱文学的同学选修。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课堂授课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能搜集、获取达到目标所需要的学习资源即阅读经典作品，实施学习计划、反思学习计划、持续改进，达到学习目标即即对作品内容的了解和自己对作品的认识和感悟。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课堂授课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自主学习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 w:eastAsia="黑体"/>
                <w:sz w:val="20"/>
                <w:szCs w:val="20"/>
                <w:lang w:eastAsia="zh-CN"/>
              </w:rPr>
              <w:t>平台学习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富于爱心，懂得感恩，具备助人为乐的品质。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课堂授课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随堂测</w:t>
            </w:r>
          </w:p>
        </w:tc>
      </w:tr>
    </w:tbl>
    <w:p>
      <w:pPr>
        <w:snapToGrid w:val="0"/>
        <w:spacing w:line="288" w:lineRule="auto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这门选修课主要学习一些</w:t>
      </w:r>
      <w:r>
        <w:rPr>
          <w:rFonts w:hint="eastAsia"/>
          <w:sz w:val="20"/>
          <w:szCs w:val="20"/>
          <w:lang w:eastAsia="zh-CN"/>
        </w:rPr>
        <w:t>中国古代和</w:t>
      </w:r>
      <w:r>
        <w:rPr>
          <w:rFonts w:hint="eastAsia"/>
          <w:sz w:val="20"/>
          <w:szCs w:val="20"/>
        </w:rPr>
        <w:t>现当代文学</w:t>
      </w:r>
      <w:r>
        <w:rPr>
          <w:rFonts w:hint="eastAsia"/>
          <w:sz w:val="20"/>
          <w:szCs w:val="20"/>
          <w:lang w:eastAsia="zh-CN"/>
        </w:rPr>
        <w:t>以及</w:t>
      </w:r>
      <w:r>
        <w:rPr>
          <w:rFonts w:hint="eastAsia"/>
          <w:sz w:val="20"/>
          <w:szCs w:val="20"/>
          <w:lang w:val="en-US" w:eastAsia="zh-CN"/>
        </w:rPr>
        <w:t>一些</w:t>
      </w:r>
      <w:r>
        <w:rPr>
          <w:rFonts w:hint="eastAsia"/>
          <w:sz w:val="20"/>
          <w:szCs w:val="20"/>
          <w:lang w:eastAsia="zh-CN"/>
        </w:rPr>
        <w:t>外国文学作品。分别从</w:t>
      </w:r>
      <w:r>
        <w:rPr>
          <w:rFonts w:hint="eastAsia"/>
          <w:sz w:val="20"/>
          <w:szCs w:val="20"/>
        </w:rPr>
        <w:t>诗歌、小说、散文</w:t>
      </w:r>
      <w:r>
        <w:rPr>
          <w:rFonts w:hint="eastAsia"/>
          <w:sz w:val="20"/>
          <w:szCs w:val="20"/>
          <w:lang w:eastAsia="zh-CN"/>
        </w:rPr>
        <w:t>、戏剧四个部分学习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  <w:lang w:eastAsia="zh-CN"/>
        </w:rPr>
        <w:t>每个部分中选择中国古典文学作品、中国现当代文学作品和外国文学作品。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绪论：文学作品欣赏导论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让学生知道这门课程的教学内容和教学计划，以及考核方式，了解这门课的要求。通过课程学习，理解这些文学作品的内涵，运用作品中的人文精神不断修养自身。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第一单元：诗歌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知道一些中国古典诗歌作品、中国现当代诗歌作品、外国诗歌作品，学习这些诗歌中蕴含的精神、文化、哲理，学会鉴赏诗歌，</w:t>
      </w:r>
      <w:r>
        <w:rPr>
          <w:rFonts w:hint="eastAsia"/>
          <w:sz w:val="20"/>
          <w:szCs w:val="20"/>
        </w:rPr>
        <w:t>如</w:t>
      </w:r>
      <w:r>
        <w:rPr>
          <w:rFonts w:hint="eastAsia"/>
          <w:sz w:val="20"/>
          <w:szCs w:val="20"/>
          <w:lang w:eastAsia="zh-CN"/>
        </w:rPr>
        <w:t>唐诗宋词，两大流派山水田园诗、边塞诗，两大诗人浪漫主义诗人李白、现实主义诗人杜甫，和现当代的徐志摩、顾城、海子、舒婷、北岛、戴望舒、冯至等的诗，以及外国诗人泰戈尔、叶芝、济慈、拜伦、普希金、雪莱等作家的主要代表作。通过古今中外的诗歌学习，理解诗歌是具有文学特质的最古老的文学样式，有较强的的韵律感，运用叙事、写景、说理和创造意象、营造意境等方法进行表达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第二单元：小说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知道一些中国古典小说作品、中国现当代小说作品、外国小说作品，理解作品中涉及的历史、社会、政治、经济、艺术，学习品读小说，如魏晋南北朝小说、明清小说，尤其中国四大名著，和现当代的</w:t>
      </w:r>
      <w:r>
        <w:rPr>
          <w:rFonts w:hint="eastAsia"/>
          <w:sz w:val="20"/>
          <w:szCs w:val="20"/>
        </w:rPr>
        <w:t>鲁迅《狂人日记》、曹禺《雷雨》、钱钟书《围城》、萧红《呼兰河传》、张爱玲《金锁记》、沈从文《边城》、陈忠实《白鹿原》、路遥《平凡的世界》、贾平凹《秦腔》、莫言《红高粱》《生死疲劳》《蛙》《透明的红萝卜》、余华《活着》《兄弟》以及马尔克斯</w:t>
      </w:r>
      <w:r>
        <w:rPr>
          <w:rFonts w:hint="eastAsia"/>
          <w:sz w:val="20"/>
          <w:szCs w:val="20"/>
          <w:lang w:eastAsia="zh-CN"/>
        </w:rPr>
        <w:t>的《百年孤独》、普鲁斯特的《追忆似水年华》、</w:t>
      </w:r>
      <w:r>
        <w:rPr>
          <w:rFonts w:hint="eastAsia"/>
          <w:sz w:val="20"/>
          <w:szCs w:val="20"/>
        </w:rPr>
        <w:t>奥斯特洛夫斯基的《钢铁是怎样炼成的》、</w:t>
      </w:r>
      <w:r>
        <w:rPr>
          <w:sz w:val="20"/>
          <w:szCs w:val="20"/>
        </w:rPr>
        <w:t>卡勒德·胡赛尼</w:t>
      </w:r>
      <w:r>
        <w:rPr>
          <w:rFonts w:hint="eastAsia"/>
          <w:sz w:val="20"/>
          <w:szCs w:val="20"/>
        </w:rPr>
        <w:t>的《追风筝的人》、海明威的《老人与海》、村上春树的《挪威的森林》、斯蒂芬</w:t>
      </w:r>
      <w:r>
        <w:rPr>
          <w:sz w:val="20"/>
          <w:szCs w:val="20"/>
        </w:rPr>
        <w:t>·</w:t>
      </w:r>
      <w:r>
        <w:rPr>
          <w:rFonts w:hint="eastAsia"/>
          <w:sz w:val="20"/>
          <w:szCs w:val="20"/>
        </w:rPr>
        <w:t>金的《肖申克的救赎》、</w:t>
      </w:r>
      <w:r>
        <w:rPr>
          <w:sz w:val="20"/>
          <w:szCs w:val="20"/>
        </w:rPr>
        <w:t>笛福《鲁滨孙漂流记》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欧·亨利</w:t>
      </w:r>
      <w:r>
        <w:rPr>
          <w:rFonts w:hint="eastAsia"/>
          <w:sz w:val="20"/>
          <w:szCs w:val="20"/>
        </w:rPr>
        <w:t>的</w:t>
      </w:r>
      <w:r>
        <w:rPr>
          <w:sz w:val="20"/>
          <w:szCs w:val="20"/>
        </w:rPr>
        <w:t>《麦琪的礼物》</w:t>
      </w:r>
      <w:r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  <w:lang w:eastAsia="zh-CN"/>
        </w:rPr>
        <w:t>等</w:t>
      </w:r>
      <w:r>
        <w:rPr>
          <w:rFonts w:hint="eastAsia"/>
          <w:sz w:val="20"/>
          <w:szCs w:val="20"/>
        </w:rPr>
        <w:t>，使学生不仅知道所学篇目的内容，更是要通过这些作品深深地理解其中所表现的社会、文化</w:t>
      </w:r>
      <w:r>
        <w:rPr>
          <w:rFonts w:hint="eastAsia"/>
          <w:sz w:val="20"/>
          <w:szCs w:val="20"/>
          <w:lang w:eastAsia="zh-CN"/>
        </w:rPr>
        <w:t>和哲学道理。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第三单元：散文</w:t>
      </w:r>
    </w:p>
    <w:p>
      <w:pPr>
        <w:snapToGrid w:val="0"/>
        <w:spacing w:line="288" w:lineRule="auto"/>
        <w:ind w:firstLine="400" w:firstLineChars="200"/>
      </w:pPr>
      <w:r>
        <w:rPr>
          <w:rFonts w:hint="eastAsia"/>
          <w:sz w:val="20"/>
          <w:szCs w:val="20"/>
          <w:lang w:eastAsia="zh-CN"/>
        </w:rPr>
        <w:t>知道一些中国古典散文作品、中国现当代散文作品、外国散文作品，理解作品中传达的某种哲学思想、政治理念，或叙述的历史事件等，以及缘情体物、审美寄怀的思想感情的表达。如先秦诸子散文蕴含的哲理，梁实秋、林语堂、郁达夫、周作人、朱自清、季羡林、史铁生、余光中、张抗抗、宗璞、迟子建、毕淑敏等作家的现当代散文作品，感悟散文的最高境界就像风行水上，流水行云一般。外国散文作品欣赏美国的梭罗《瓦尔登湖》、塞缪尔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·</w:t>
      </w:r>
      <w:r>
        <w:rPr>
          <w:rFonts w:hint="eastAsia"/>
          <w:sz w:val="20"/>
          <w:szCs w:val="20"/>
          <w:lang w:eastAsia="zh-CN"/>
        </w:rPr>
        <w:t>乌尔曼《青春》，法国的蒙田《热爱生命》、阿尔贝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·</w:t>
      </w:r>
      <w:r>
        <w:rPr>
          <w:rFonts w:hint="eastAsia"/>
          <w:sz w:val="20"/>
          <w:szCs w:val="20"/>
          <w:lang w:eastAsia="zh-CN"/>
        </w:rPr>
        <w:t>加缪《蒂巴萨的婚礼》，英国的培根《论美》，黎巴嫩的纪伯伦《我的心灵告诫我》，哥伦比亚的乌尔克斯《乌尔克斯的告别信》等等，通过作品理解不同国家的文化和思想。</w:t>
      </w:r>
      <w:r>
        <w:rPr>
          <w:rFonts w:hint="eastAsia"/>
          <w:sz w:val="20"/>
          <w:szCs w:val="20"/>
        </w:rPr>
        <w:t>在理解的基础上，运用文学作品蕴含的文化与道理，指导自己的人生，真正发挥文学对读者的潜移默化的重大作用和不可低估的力量。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第四单元：戏剧</w:t>
      </w:r>
    </w:p>
    <w:p>
      <w:pPr>
        <w:snapToGrid w:val="0"/>
        <w:spacing w:line="288" w:lineRule="auto"/>
        <w:ind w:firstLine="400" w:firstLineChars="200"/>
      </w:pPr>
      <w:r>
        <w:rPr>
          <w:rFonts w:hint="eastAsia"/>
          <w:sz w:val="20"/>
          <w:szCs w:val="20"/>
          <w:lang w:eastAsia="zh-CN"/>
        </w:rPr>
        <w:t>知道一些中国古典戏剧作品、中国现当代戏剧作品、外国戏剧作品，如元杂剧关汉卿《窦娥冤》、王实甫《西厢记》，明清戏剧汤显祖《牡丹亭》、孔尚任《桃花扇》、洪昇《长生殿》，现当代的戏剧曹禺的《雷雨》《日出》、老舍的《茶馆》，外国戏剧作品古希腊戏剧《俄狄浦斯王》、英国的莎士比亚《哈姆莱特》、挪威的易卜生《玩偶之家》等，理解戏剧是融文学、音乐、舞蹈、美术等多种艺术成分于一体的综合艺术，由语言、动作、场景、道具等组合为表现手段，通过编剧、导演、演员的共同创造。戏剧的基本要素是矛盾冲突，在舞台上通过演员扮演角色演绎矛盾冲突，反映现实生活，使观众有身临其境之感，激起强烈的情感反应，从而获得具体生动的艺术感受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numPr>
          <w:ilvl w:val="0"/>
          <w:numId w:val="1"/>
        </w:numPr>
        <w:spacing w:beforeLines="50" w:afterLines="50" w:line="288" w:lineRule="auto"/>
        <w:ind w:left="360" w:leftChars="0" w:firstLine="0" w:firstLineChars="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平台学习与课堂表现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随堂测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bookmarkStart w:id="4" w:name="_GoBack"/>
      <w:bookmarkEnd w:id="4"/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撰写人：李欣田    系主任审核签名：     审核时间：20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16630"/>
    <w:multiLevelType w:val="singleLevel"/>
    <w:tmpl w:val="55516630"/>
    <w:lvl w:ilvl="0" w:tentative="0">
      <w:start w:val="7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07518A"/>
    <w:rsid w:val="000A5658"/>
    <w:rsid w:val="00111F6F"/>
    <w:rsid w:val="00182A9B"/>
    <w:rsid w:val="001F4A01"/>
    <w:rsid w:val="00256B39"/>
    <w:rsid w:val="0026033C"/>
    <w:rsid w:val="002A5869"/>
    <w:rsid w:val="002B59A1"/>
    <w:rsid w:val="002E3721"/>
    <w:rsid w:val="002F1A16"/>
    <w:rsid w:val="00311B80"/>
    <w:rsid w:val="00313BBA"/>
    <w:rsid w:val="0032602E"/>
    <w:rsid w:val="003367AE"/>
    <w:rsid w:val="003C6681"/>
    <w:rsid w:val="004100B0"/>
    <w:rsid w:val="00447386"/>
    <w:rsid w:val="004544AA"/>
    <w:rsid w:val="00473CE4"/>
    <w:rsid w:val="004B0880"/>
    <w:rsid w:val="005467DC"/>
    <w:rsid w:val="00553D03"/>
    <w:rsid w:val="00560140"/>
    <w:rsid w:val="005B2B6D"/>
    <w:rsid w:val="005B4B4E"/>
    <w:rsid w:val="00624FE1"/>
    <w:rsid w:val="00683F15"/>
    <w:rsid w:val="006D4A05"/>
    <w:rsid w:val="007208D6"/>
    <w:rsid w:val="007767BA"/>
    <w:rsid w:val="007D01B7"/>
    <w:rsid w:val="00880490"/>
    <w:rsid w:val="00893E0B"/>
    <w:rsid w:val="008B397C"/>
    <w:rsid w:val="008B47F4"/>
    <w:rsid w:val="00900019"/>
    <w:rsid w:val="0091065D"/>
    <w:rsid w:val="00942B3B"/>
    <w:rsid w:val="00956D90"/>
    <w:rsid w:val="0099063E"/>
    <w:rsid w:val="00A02EB4"/>
    <w:rsid w:val="00A87C09"/>
    <w:rsid w:val="00AC5F53"/>
    <w:rsid w:val="00AC60EE"/>
    <w:rsid w:val="00B511A5"/>
    <w:rsid w:val="00B7651F"/>
    <w:rsid w:val="00C46915"/>
    <w:rsid w:val="00C56E09"/>
    <w:rsid w:val="00C721FD"/>
    <w:rsid w:val="00CE746B"/>
    <w:rsid w:val="00DA7C08"/>
    <w:rsid w:val="00E16D30"/>
    <w:rsid w:val="00E33169"/>
    <w:rsid w:val="00E70904"/>
    <w:rsid w:val="00EE1EFB"/>
    <w:rsid w:val="00EF44B1"/>
    <w:rsid w:val="00F35AA0"/>
    <w:rsid w:val="00FF2C61"/>
    <w:rsid w:val="024B0C39"/>
    <w:rsid w:val="035E73B9"/>
    <w:rsid w:val="06005078"/>
    <w:rsid w:val="067576FD"/>
    <w:rsid w:val="06CD4C74"/>
    <w:rsid w:val="07910517"/>
    <w:rsid w:val="089608E6"/>
    <w:rsid w:val="091C552D"/>
    <w:rsid w:val="092E02F7"/>
    <w:rsid w:val="0FDF6C35"/>
    <w:rsid w:val="1252010C"/>
    <w:rsid w:val="170C74B4"/>
    <w:rsid w:val="194B49AC"/>
    <w:rsid w:val="19BD21E0"/>
    <w:rsid w:val="1CD2159C"/>
    <w:rsid w:val="1FDE594D"/>
    <w:rsid w:val="24192CCC"/>
    <w:rsid w:val="27CA6CE8"/>
    <w:rsid w:val="29210184"/>
    <w:rsid w:val="2AEC6EA4"/>
    <w:rsid w:val="30AF0AB8"/>
    <w:rsid w:val="31C259F5"/>
    <w:rsid w:val="368B5C8F"/>
    <w:rsid w:val="37E45B0F"/>
    <w:rsid w:val="3CCD6818"/>
    <w:rsid w:val="3CD52CE1"/>
    <w:rsid w:val="3D3C55B6"/>
    <w:rsid w:val="3DF40375"/>
    <w:rsid w:val="41736F2E"/>
    <w:rsid w:val="4325085D"/>
    <w:rsid w:val="44435D28"/>
    <w:rsid w:val="47F028FD"/>
    <w:rsid w:val="4C653F3E"/>
    <w:rsid w:val="4ED53A19"/>
    <w:rsid w:val="52C67705"/>
    <w:rsid w:val="54875D3D"/>
    <w:rsid w:val="55F7691A"/>
    <w:rsid w:val="59C83D0E"/>
    <w:rsid w:val="62A54780"/>
    <w:rsid w:val="635073F9"/>
    <w:rsid w:val="66BA4938"/>
    <w:rsid w:val="691F5AF2"/>
    <w:rsid w:val="69FC2F13"/>
    <w:rsid w:val="6AC54F5D"/>
    <w:rsid w:val="6EC86481"/>
    <w:rsid w:val="6F5042C2"/>
    <w:rsid w:val="71941A6A"/>
    <w:rsid w:val="723B7084"/>
    <w:rsid w:val="72425C62"/>
    <w:rsid w:val="75DA4350"/>
    <w:rsid w:val="773E764D"/>
    <w:rsid w:val="796D0776"/>
    <w:rsid w:val="7A5E65FC"/>
    <w:rsid w:val="7B7F4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430</Words>
  <Characters>2457</Characters>
  <Lines>20</Lines>
  <Paragraphs>5</Paragraphs>
  <TotalTime>1</TotalTime>
  <ScaleCrop>false</ScaleCrop>
  <LinksUpToDate>false</LinksUpToDate>
  <CharactersWithSpaces>2882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2021-09-15T14:24:23Z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1610F8D3B094426B990D0A4276419EDE</vt:lpwstr>
  </property>
</Properties>
</file>