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_x0000_s2050"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绚丽的古希腊神话</w:t>
      </w:r>
    </w:p>
    <w:p>
      <w:pPr>
        <w:spacing w:line="288" w:lineRule="auto"/>
        <w:jc w:val="center"/>
        <w:rPr>
          <w:rFonts w:ascii="Times New Roman" w:hAnsi="Times New Roman"/>
          <w:b/>
          <w:sz w:val="28"/>
          <w:szCs w:val="30"/>
        </w:rPr>
      </w:pPr>
      <w:bookmarkStart w:id="0" w:name="a2"/>
      <w:bookmarkEnd w:id="0"/>
      <w:r>
        <w:rPr>
          <w:rFonts w:ascii="Times New Roman" w:hAnsi="Times New Roman"/>
          <w:b/>
          <w:sz w:val="28"/>
          <w:szCs w:val="30"/>
        </w:rPr>
        <w:t>Splendid Ancient Greek Mythology</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ascii="Times New Roman" w:hAnsi="Times New Roman"/>
          <w:color w:val="000000"/>
          <w:sz w:val="20"/>
          <w:szCs w:val="20"/>
        </w:rPr>
        <w:t>2138034</w:t>
      </w:r>
    </w:p>
    <w:p>
      <w:pPr>
        <w:snapToGrid w:val="0"/>
        <w:spacing w:line="288" w:lineRule="auto"/>
        <w:ind w:firstLine="394" w:firstLineChars="196"/>
        <w:rPr>
          <w:color w:val="000000"/>
          <w:szCs w:val="21"/>
        </w:rPr>
      </w:pPr>
      <w:r>
        <w:rPr>
          <w:b/>
          <w:bCs/>
          <w:color w:val="000000"/>
          <w:sz w:val="20"/>
          <w:szCs w:val="20"/>
        </w:rPr>
        <w:t>课程学分：</w:t>
      </w:r>
      <w:r>
        <w:rPr>
          <w:rFonts w:ascii="Times New Roman" w:hAnsi="Times New Roman"/>
          <w:color w:val="000000"/>
          <w:sz w:val="20"/>
          <w:szCs w:val="20"/>
        </w:rPr>
        <w:t>2.0</w:t>
      </w:r>
    </w:p>
    <w:p>
      <w:pPr>
        <w:snapToGrid w:val="0"/>
        <w:spacing w:line="288" w:lineRule="auto"/>
        <w:ind w:firstLine="394" w:firstLineChars="196"/>
        <w:rPr>
          <w:color w:val="000000"/>
          <w:szCs w:val="21"/>
        </w:rPr>
      </w:pPr>
      <w:r>
        <w:rPr>
          <w:b/>
          <w:bCs/>
          <w:color w:val="000000"/>
          <w:sz w:val="20"/>
          <w:szCs w:val="20"/>
        </w:rPr>
        <w:t>面向专业：</w:t>
      </w:r>
      <w:r>
        <w:rPr>
          <w:rFonts w:hint="eastAsia"/>
          <w:color w:val="000000"/>
          <w:szCs w:val="21"/>
        </w:rPr>
        <w:t>全体在校生</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通识教育选修课</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通识教育学院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color w:val="000000"/>
          <w:sz w:val="20"/>
          <w:szCs w:val="20"/>
        </w:rPr>
      </w:pPr>
      <w:r>
        <w:rPr>
          <w:rFonts w:hint="eastAsia"/>
          <w:color w:val="000000"/>
          <w:sz w:val="20"/>
          <w:szCs w:val="20"/>
        </w:rPr>
        <w:t>教材：无</w:t>
      </w:r>
    </w:p>
    <w:p>
      <w:pPr>
        <w:snapToGrid w:val="0"/>
        <w:spacing w:line="288" w:lineRule="auto"/>
        <w:ind w:left="718" w:leftChars="342" w:firstLine="100" w:firstLineChars="50"/>
        <w:rPr>
          <w:color w:val="000000"/>
          <w:sz w:val="20"/>
          <w:szCs w:val="20"/>
        </w:rPr>
      </w:pPr>
      <w:r>
        <w:rPr>
          <w:rFonts w:hint="eastAsia"/>
          <w:color w:val="000000"/>
          <w:sz w:val="20"/>
          <w:szCs w:val="20"/>
        </w:rPr>
        <w:t>参考书目：</w:t>
      </w:r>
    </w:p>
    <w:p>
      <w:pPr>
        <w:pStyle w:val="13"/>
        <w:numPr>
          <w:ilvl w:val="0"/>
          <w:numId w:val="1"/>
        </w:numPr>
        <w:snapToGrid w:val="0"/>
        <w:spacing w:line="288" w:lineRule="auto"/>
        <w:ind w:firstLineChars="0"/>
        <w:rPr>
          <w:color w:val="000000"/>
          <w:sz w:val="20"/>
          <w:szCs w:val="20"/>
        </w:rPr>
      </w:pPr>
      <w:r>
        <w:rPr>
          <w:rFonts w:hint="eastAsia" w:asciiTheme="minorEastAsia" w:hAnsiTheme="minorEastAsia" w:eastAsiaTheme="minorEastAsia"/>
          <w:color w:val="000000"/>
          <w:sz w:val="20"/>
          <w:szCs w:val="20"/>
        </w:rPr>
        <w:t>[</w:t>
      </w:r>
      <w:r>
        <w:rPr>
          <w:rFonts w:hint="eastAsia"/>
          <w:color w:val="000000"/>
          <w:sz w:val="20"/>
          <w:szCs w:val="20"/>
        </w:rPr>
        <w:t>德</w:t>
      </w:r>
      <w:r>
        <w:rPr>
          <w:rFonts w:hint="eastAsia" w:asciiTheme="minorEastAsia" w:hAnsiTheme="minorEastAsia" w:eastAsiaTheme="minorEastAsia"/>
          <w:color w:val="000000"/>
          <w:sz w:val="20"/>
          <w:szCs w:val="20"/>
        </w:rPr>
        <w:t>]</w:t>
      </w:r>
      <w:r>
        <w:rPr>
          <w:rFonts w:hint="eastAsia"/>
          <w:color w:val="000000"/>
          <w:sz w:val="20"/>
          <w:szCs w:val="20"/>
        </w:rPr>
        <w:t>古斯塔夫·施瓦布：《古希腊神话与传说》（上下），高中甫、关惠文等译，时代文艺出版社，</w:t>
      </w:r>
      <w:r>
        <w:rPr>
          <w:rFonts w:ascii="Times New Roman" w:hAnsi="Times New Roman"/>
          <w:color w:val="000000"/>
          <w:sz w:val="20"/>
          <w:szCs w:val="20"/>
        </w:rPr>
        <w:t>2018</w:t>
      </w:r>
      <w:r>
        <w:rPr>
          <w:rFonts w:hint="eastAsia"/>
          <w:color w:val="000000"/>
          <w:sz w:val="20"/>
          <w:szCs w:val="20"/>
        </w:rPr>
        <w:t>；</w:t>
      </w:r>
    </w:p>
    <w:p>
      <w:pPr>
        <w:pStyle w:val="13"/>
        <w:numPr>
          <w:ilvl w:val="0"/>
          <w:numId w:val="1"/>
        </w:numPr>
        <w:snapToGrid w:val="0"/>
        <w:spacing w:line="288" w:lineRule="auto"/>
        <w:ind w:firstLineChars="0"/>
        <w:rPr>
          <w:color w:val="000000"/>
          <w:sz w:val="20"/>
          <w:szCs w:val="20"/>
        </w:rPr>
      </w:pPr>
      <w:r>
        <w:rPr>
          <w:rFonts w:hint="eastAsia" w:ascii="宋体" w:hAnsi="宋体"/>
          <w:color w:val="000000"/>
          <w:sz w:val="20"/>
          <w:szCs w:val="20"/>
        </w:rPr>
        <w:t>[</w:t>
      </w:r>
      <w:r>
        <w:rPr>
          <w:rFonts w:hint="eastAsia"/>
          <w:color w:val="000000"/>
          <w:sz w:val="20"/>
          <w:szCs w:val="20"/>
        </w:rPr>
        <w:t>美</w:t>
      </w:r>
      <w:r>
        <w:rPr>
          <w:rFonts w:hint="eastAsia" w:asciiTheme="minorEastAsia" w:hAnsiTheme="minorEastAsia" w:eastAsiaTheme="minorEastAsia"/>
          <w:color w:val="000000"/>
          <w:sz w:val="20"/>
          <w:szCs w:val="20"/>
        </w:rPr>
        <w:t>]</w:t>
      </w:r>
      <w:r>
        <w:rPr>
          <w:rFonts w:hint="eastAsia"/>
          <w:color w:val="000000"/>
          <w:sz w:val="20"/>
          <w:szCs w:val="20"/>
        </w:rPr>
        <w:t>伊恩·莫里斯、巴里·鲍威尔：《希腊人：历史、文化、社会》（第二版），陈恒、屈伯文、贾斐、苗倩译，上海人民出版社，</w:t>
      </w:r>
      <w:r>
        <w:rPr>
          <w:rFonts w:ascii="Times New Roman" w:hAnsi="Times New Roman"/>
          <w:color w:val="000000"/>
          <w:sz w:val="20"/>
          <w:szCs w:val="20"/>
        </w:rPr>
        <w:t>2014</w:t>
      </w:r>
      <w:r>
        <w:rPr>
          <w:rFonts w:hint="eastAsia"/>
          <w:color w:val="000000"/>
          <w:sz w:val="20"/>
          <w:szCs w:val="20"/>
        </w:rPr>
        <w:t>；</w:t>
      </w:r>
    </w:p>
    <w:p>
      <w:pPr>
        <w:pStyle w:val="13"/>
        <w:numPr>
          <w:ilvl w:val="0"/>
          <w:numId w:val="1"/>
        </w:numPr>
        <w:snapToGrid w:val="0"/>
        <w:spacing w:line="288" w:lineRule="auto"/>
        <w:ind w:firstLineChars="0"/>
        <w:rPr>
          <w:color w:val="000000"/>
          <w:sz w:val="20"/>
          <w:szCs w:val="20"/>
        </w:rPr>
      </w:pPr>
      <w:r>
        <w:rPr>
          <w:rFonts w:hint="eastAsia" w:asciiTheme="minorEastAsia" w:hAnsiTheme="minorEastAsia" w:eastAsiaTheme="minorEastAsia"/>
          <w:color w:val="000000"/>
          <w:sz w:val="20"/>
          <w:szCs w:val="20"/>
        </w:rPr>
        <w:t>[</w:t>
      </w:r>
      <w:r>
        <w:rPr>
          <w:rFonts w:hint="eastAsia"/>
          <w:color w:val="000000"/>
          <w:sz w:val="20"/>
          <w:szCs w:val="20"/>
        </w:rPr>
        <w:t>英</w:t>
      </w:r>
      <w:r>
        <w:rPr>
          <w:rFonts w:hint="eastAsia" w:asciiTheme="minorEastAsia" w:hAnsiTheme="minorEastAsia" w:eastAsiaTheme="minorEastAsia"/>
          <w:color w:val="000000"/>
          <w:sz w:val="20"/>
          <w:szCs w:val="20"/>
        </w:rPr>
        <w:t>]</w:t>
      </w:r>
      <w:r>
        <w:rPr>
          <w:rFonts w:ascii="Times New Roman" w:hAnsi="Times New Roman"/>
          <w:color w:val="000000"/>
          <w:sz w:val="20"/>
          <w:szCs w:val="20"/>
        </w:rPr>
        <w:t>N.G.L.</w:t>
      </w:r>
      <w:r>
        <w:rPr>
          <w:rFonts w:hint="eastAsia"/>
          <w:color w:val="000000"/>
          <w:sz w:val="20"/>
          <w:szCs w:val="20"/>
        </w:rPr>
        <w:t>哈蒙德：《希腊史》，朱龙华译，商务印书馆，</w:t>
      </w:r>
      <w:r>
        <w:rPr>
          <w:rFonts w:ascii="Times New Roman" w:hAnsi="Times New Roman"/>
          <w:color w:val="000000"/>
          <w:sz w:val="20"/>
          <w:szCs w:val="20"/>
        </w:rPr>
        <w:t>2017</w:t>
      </w:r>
      <w:r>
        <w:rPr>
          <w:rFonts w:hint="eastAsia"/>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rFonts w:ascii="Times New Roman" w:hAnsi="Times New Roman"/>
          <w:color w:val="000000"/>
          <w:sz w:val="20"/>
          <w:szCs w:val="20"/>
        </w:rPr>
      </w:pPr>
      <w:r>
        <w:rPr>
          <w:rFonts w:ascii="Times New Roman" w:hAnsi="Times New Roman"/>
          <w:color w:val="000000"/>
          <w:sz w:val="20"/>
          <w:szCs w:val="20"/>
        </w:rPr>
        <w:t>https://elearning.gench.edu.cn:8443/webapps/discussionboard/do/conference?toggle_mode=edit&amp;action=list_forums&amp;course_id=_18118_1&amp;nav=discussion_board_entry&amp;mode=cpview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300" w:firstLineChars="150"/>
        <w:jc w:val="left"/>
        <w:rPr>
          <w:rFonts w:ascii="宋体" w:hAnsi="宋体"/>
          <w:kern w:val="0"/>
          <w:sz w:val="20"/>
          <w:szCs w:val="20"/>
        </w:rPr>
      </w:pPr>
      <w:r>
        <w:rPr>
          <w:rFonts w:hint="eastAsia" w:ascii="宋体" w:hAnsi="宋体"/>
          <w:kern w:val="0"/>
          <w:sz w:val="20"/>
          <w:szCs w:val="20"/>
        </w:rPr>
        <w:t>古希腊文明是西方文明的主要源头之一，为人类历史留下了许多辉煌灿烂的文化财富，它的神话传说就是其中最为瑰丽的珍宝。它们有着很强的审美价值和认识价值。了解它们，既能得到美学上的熏陶，也能对西方文明的源头之一进行更为深入的认知。本课程介绍的古希腊神话由三部分组成：克里特神话、荷马史诗、奥林匹斯神话，分别对应古希腊历史上的远古时期、黑暗时期、古典时期。课程内容籍由对神话的介绍过渡到对古希腊社会文化诸多方面的分析、讲解，并就其中部分内容展开与同时期其他文明的对比，使听课者能够较为系统地了解“‘西方’从何而来”，进而能从一种比较的文化视野出发，更为全面地了解古代世界及其与现代世界的区别与联系。</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pStyle w:val="2"/>
        <w:widowControl/>
        <w:spacing w:beforeAutospacing="0" w:afterAutospacing="0"/>
        <w:ind w:firstLine="400" w:firstLineChars="200"/>
        <w:rPr>
          <w:rFonts w:hint="default"/>
          <w:b w:val="0"/>
          <w:bCs w:val="0"/>
          <w:kern w:val="0"/>
          <w:sz w:val="20"/>
          <w:szCs w:val="20"/>
        </w:rPr>
      </w:pPr>
      <w:r>
        <w:rPr>
          <w:b w:val="0"/>
          <w:bCs w:val="0"/>
          <w:kern w:val="0"/>
          <w:sz w:val="20"/>
          <w:szCs w:val="20"/>
        </w:rPr>
        <w:t>建议对古代神话传说、古代文明感兴趣的学生选修该课程。</w:t>
      </w:r>
    </w:p>
    <w:p>
      <w:pPr>
        <w:snapToGrid w:val="0"/>
        <w:spacing w:line="288" w:lineRule="auto"/>
        <w:ind w:firstLine="420" w:firstLineChars="200"/>
      </w:pPr>
    </w:p>
    <w:p>
      <w:pPr>
        <w:snapToGrid w:val="0"/>
        <w:spacing w:line="288" w:lineRule="auto"/>
        <w:ind w:firstLine="420" w:firstLineChars="200"/>
      </w:pPr>
    </w:p>
    <w:p>
      <w:pPr>
        <w:snapToGrid w:val="0"/>
        <w:spacing w:line="288" w:lineRule="auto"/>
        <w:ind w:firstLine="420" w:firstLineChars="200"/>
      </w:pPr>
    </w:p>
    <w:p>
      <w:pPr>
        <w:snapToGrid w:val="0"/>
        <w:spacing w:line="288" w:lineRule="auto"/>
        <w:ind w:firstLine="420" w:firstLineChars="200"/>
      </w:pPr>
    </w:p>
    <w:p>
      <w:pPr>
        <w:snapToGrid w:val="0"/>
        <w:spacing w:line="288" w:lineRule="auto"/>
        <w:ind w:firstLine="420" w:firstLineChars="200"/>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1746" w:tblpY="15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241"/>
        <w:gridCol w:w="3574"/>
        <w:gridCol w:w="162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adjustRightInd w:val="0"/>
              <w:snapToGrid w:val="0"/>
              <w:spacing w:line="288" w:lineRule="auto"/>
              <w:jc w:val="center"/>
              <w:rPr>
                <w:b/>
                <w:color w:val="000000"/>
                <w:sz w:val="20"/>
                <w:szCs w:val="20"/>
              </w:rPr>
            </w:pPr>
            <w:r>
              <w:rPr>
                <w:rFonts w:hint="eastAsia"/>
                <w:b/>
                <w:color w:val="000000"/>
                <w:sz w:val="20"/>
                <w:szCs w:val="20"/>
              </w:rPr>
              <w:t>序号</w:t>
            </w:r>
          </w:p>
        </w:tc>
        <w:tc>
          <w:tcPr>
            <w:tcW w:w="728" w:type="pct"/>
            <w:vAlign w:val="center"/>
          </w:tcPr>
          <w:p>
            <w:pPr>
              <w:adjustRightInd w:val="0"/>
              <w:snapToGrid w:val="0"/>
              <w:spacing w:line="288" w:lineRule="auto"/>
              <w:jc w:val="center"/>
              <w:rPr>
                <w:b/>
                <w:color w:val="000000"/>
                <w:sz w:val="20"/>
                <w:szCs w:val="20"/>
              </w:rPr>
            </w:pPr>
            <w:r>
              <w:rPr>
                <w:rFonts w:hint="eastAsia"/>
                <w:b/>
                <w:color w:val="000000"/>
                <w:sz w:val="20"/>
                <w:szCs w:val="20"/>
              </w:rPr>
              <w:t>课程预期</w:t>
            </w:r>
          </w:p>
          <w:p>
            <w:pPr>
              <w:adjustRightInd w:val="0"/>
              <w:snapToGrid w:val="0"/>
              <w:spacing w:line="288" w:lineRule="auto"/>
              <w:jc w:val="center"/>
              <w:rPr>
                <w:b/>
                <w:color w:val="000000"/>
                <w:sz w:val="20"/>
                <w:szCs w:val="20"/>
              </w:rPr>
            </w:pPr>
            <w:r>
              <w:rPr>
                <w:rFonts w:hint="eastAsia"/>
                <w:b/>
                <w:color w:val="000000"/>
                <w:sz w:val="20"/>
                <w:szCs w:val="20"/>
              </w:rPr>
              <w:t>学习成果</w:t>
            </w:r>
          </w:p>
        </w:tc>
        <w:tc>
          <w:tcPr>
            <w:tcW w:w="2097" w:type="pct"/>
            <w:vAlign w:val="center"/>
          </w:tcPr>
          <w:p>
            <w:pPr>
              <w:adjustRightInd w:val="0"/>
              <w:snapToGrid w:val="0"/>
              <w:spacing w:line="288" w:lineRule="auto"/>
              <w:jc w:val="center"/>
              <w:rPr>
                <w:b/>
                <w:color w:val="000000"/>
                <w:sz w:val="20"/>
                <w:szCs w:val="20"/>
              </w:rPr>
            </w:pPr>
            <w:r>
              <w:rPr>
                <w:rFonts w:hint="eastAsia"/>
                <w:b/>
                <w:color w:val="000000"/>
                <w:sz w:val="20"/>
                <w:szCs w:val="20"/>
              </w:rPr>
              <w:t>课程目标</w:t>
            </w:r>
          </w:p>
        </w:tc>
        <w:tc>
          <w:tcPr>
            <w:tcW w:w="952" w:type="pct"/>
            <w:vAlign w:val="center"/>
          </w:tcPr>
          <w:p>
            <w:pPr>
              <w:adjustRightInd w:val="0"/>
              <w:snapToGrid w:val="0"/>
              <w:spacing w:line="288" w:lineRule="auto"/>
              <w:jc w:val="center"/>
              <w:rPr>
                <w:b/>
                <w:color w:val="000000"/>
                <w:sz w:val="20"/>
                <w:szCs w:val="20"/>
              </w:rPr>
            </w:pPr>
            <w:r>
              <w:rPr>
                <w:rFonts w:hint="eastAsia"/>
                <w:b/>
                <w:color w:val="000000"/>
                <w:sz w:val="20"/>
                <w:szCs w:val="20"/>
              </w:rPr>
              <w:t>教与学方式</w:t>
            </w:r>
          </w:p>
        </w:tc>
        <w:tc>
          <w:tcPr>
            <w:tcW w:w="862" w:type="pct"/>
            <w:vAlign w:val="center"/>
          </w:tcPr>
          <w:p>
            <w:pPr>
              <w:adjustRightInd w:val="0"/>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1</w:t>
            </w:r>
          </w:p>
        </w:tc>
        <w:tc>
          <w:tcPr>
            <w:tcW w:w="728"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LO112</w:t>
            </w:r>
          </w:p>
        </w:tc>
        <w:tc>
          <w:tcPr>
            <w:tcW w:w="2097" w:type="pct"/>
            <w:vAlign w:val="center"/>
          </w:tcPr>
          <w:p>
            <w:pPr>
              <w:numPr>
                <w:ilvl w:val="0"/>
                <w:numId w:val="2"/>
              </w:numPr>
              <w:autoSpaceDE w:val="0"/>
              <w:autoSpaceDN w:val="0"/>
              <w:adjustRightInd w:val="0"/>
              <w:snapToGrid w:val="0"/>
              <w:jc w:val="left"/>
              <w:rPr>
                <w:color w:val="000000"/>
                <w:sz w:val="20"/>
                <w:szCs w:val="20"/>
              </w:rPr>
            </w:pPr>
            <w:r>
              <w:rPr>
                <w:rFonts w:hint="eastAsia"/>
                <w:color w:val="000000"/>
                <w:sz w:val="20"/>
                <w:szCs w:val="20"/>
              </w:rPr>
              <w:t>能在课堂上就教学内容主动提问、表达自己的看法、与教师及其他学生交流；</w:t>
            </w:r>
          </w:p>
          <w:p>
            <w:pPr>
              <w:numPr>
                <w:ilvl w:val="0"/>
                <w:numId w:val="2"/>
              </w:numPr>
              <w:autoSpaceDE w:val="0"/>
              <w:autoSpaceDN w:val="0"/>
              <w:adjustRightInd w:val="0"/>
              <w:snapToGrid w:val="0"/>
              <w:jc w:val="left"/>
              <w:rPr>
                <w:color w:val="000000"/>
                <w:sz w:val="20"/>
                <w:szCs w:val="20"/>
              </w:rPr>
            </w:pPr>
            <w:r>
              <w:rPr>
                <w:rFonts w:hint="eastAsia"/>
                <w:color w:val="000000"/>
                <w:sz w:val="20"/>
                <w:szCs w:val="20"/>
              </w:rPr>
              <w:t>学会写合格的小论文作业，观点明确、行文流畅、思路清晰。</w:t>
            </w:r>
          </w:p>
        </w:tc>
        <w:tc>
          <w:tcPr>
            <w:tcW w:w="952" w:type="pct"/>
            <w:vAlign w:val="center"/>
          </w:tcPr>
          <w:p>
            <w:pPr>
              <w:adjustRightInd w:val="0"/>
              <w:snapToGrid w:val="0"/>
              <w:rPr>
                <w:rFonts w:ascii="Times New Roman" w:hAnsi="Times New Roman"/>
                <w:color w:val="000000"/>
                <w:sz w:val="20"/>
                <w:szCs w:val="20"/>
              </w:rPr>
            </w:pPr>
            <w:r>
              <w:rPr>
                <w:rFonts w:hint="cs" w:ascii="Times New Roman" w:hAnsi="Times New Roman"/>
                <w:color w:val="000000"/>
                <w:sz w:val="20"/>
                <w:szCs w:val="20"/>
              </w:rPr>
              <w:t>1</w:t>
            </w:r>
            <w:r>
              <w:rPr>
                <w:rFonts w:ascii="Times New Roman" w:hAnsi="Times New Roman"/>
                <w:color w:val="000000"/>
                <w:sz w:val="20"/>
                <w:szCs w:val="20"/>
              </w:rPr>
              <w:t xml:space="preserve">. </w:t>
            </w:r>
            <w:r>
              <w:rPr>
                <w:rFonts w:hint="eastAsia" w:ascii="Times New Roman" w:hAnsi="Times New Roman"/>
                <w:color w:val="000000"/>
                <w:sz w:val="20"/>
                <w:szCs w:val="20"/>
              </w:rPr>
              <w:t>课堂教学及讨论；</w:t>
            </w:r>
          </w:p>
          <w:p>
            <w:pPr>
              <w:adjustRightInd w:val="0"/>
              <w:snapToGrid w:val="0"/>
              <w:rPr>
                <w:color w:val="000000"/>
                <w:sz w:val="20"/>
                <w:szCs w:val="20"/>
              </w:rPr>
            </w:pPr>
            <w:r>
              <w:rPr>
                <w:rFonts w:hint="eastAsia" w:ascii="Times New Roman" w:hAnsi="Times New Roman"/>
                <w:color w:val="000000"/>
                <w:sz w:val="20"/>
                <w:szCs w:val="20"/>
              </w:rPr>
              <w:t>2</w:t>
            </w:r>
            <w:r>
              <w:rPr>
                <w:rFonts w:ascii="Times New Roman" w:hAnsi="Times New Roman"/>
                <w:color w:val="000000"/>
                <w:sz w:val="20"/>
                <w:szCs w:val="20"/>
              </w:rPr>
              <w:t xml:space="preserve">. </w:t>
            </w:r>
            <w:r>
              <w:rPr>
                <w:rFonts w:hint="eastAsia" w:ascii="Times New Roman" w:hAnsi="Times New Roman"/>
                <w:color w:val="000000"/>
                <w:sz w:val="20"/>
                <w:szCs w:val="20"/>
              </w:rPr>
              <w:t>学生撰写提交论文作业，教师批改后讲解。</w:t>
            </w:r>
          </w:p>
        </w:tc>
        <w:tc>
          <w:tcPr>
            <w:tcW w:w="862" w:type="pct"/>
            <w:vAlign w:val="center"/>
          </w:tcPr>
          <w:p>
            <w:pPr>
              <w:adjustRightInd w:val="0"/>
              <w:snapToGrid w:val="0"/>
              <w:spacing w:line="288" w:lineRule="auto"/>
              <w:jc w:val="center"/>
              <w:rPr>
                <w:color w:val="000000"/>
                <w:sz w:val="20"/>
                <w:szCs w:val="20"/>
              </w:rPr>
            </w:pPr>
            <w:r>
              <w:rPr>
                <w:rFonts w:hint="eastAsia"/>
                <w:color w:val="000000"/>
                <w:sz w:val="20"/>
                <w:szCs w:val="20"/>
              </w:rPr>
              <w:t>课堂表现评价</w:t>
            </w:r>
          </w:p>
          <w:p>
            <w:pPr>
              <w:adjustRightInd w:val="0"/>
              <w:snapToGrid w:val="0"/>
              <w:spacing w:line="288" w:lineRule="auto"/>
              <w:jc w:val="center"/>
              <w:rPr>
                <w:color w:val="000000"/>
                <w:sz w:val="20"/>
                <w:szCs w:val="20"/>
              </w:rPr>
            </w:pPr>
            <w:r>
              <w:rPr>
                <w:rFonts w:hint="eastAsia"/>
                <w:color w:val="000000"/>
                <w:sz w:val="20"/>
                <w:szCs w:val="20"/>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2</w:t>
            </w:r>
          </w:p>
        </w:tc>
        <w:tc>
          <w:tcPr>
            <w:tcW w:w="728"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LO711</w:t>
            </w:r>
          </w:p>
        </w:tc>
        <w:tc>
          <w:tcPr>
            <w:tcW w:w="2097" w:type="pct"/>
            <w:vAlign w:val="center"/>
          </w:tcPr>
          <w:p>
            <w:pPr>
              <w:adjustRightInd w:val="0"/>
              <w:snapToGrid w:val="0"/>
              <w:rPr>
                <w:color w:val="000000"/>
                <w:sz w:val="20"/>
                <w:szCs w:val="20"/>
              </w:rPr>
            </w:pPr>
            <w:r>
              <w:rPr>
                <w:rFonts w:hint="eastAsia"/>
                <w:color w:val="000000"/>
                <w:sz w:val="20"/>
                <w:szCs w:val="20"/>
              </w:rPr>
              <w:t>能意识到西方古典文明与我国古代文明的异同，具备初步的文化比较视野。</w:t>
            </w:r>
          </w:p>
        </w:tc>
        <w:tc>
          <w:tcPr>
            <w:tcW w:w="952" w:type="pct"/>
            <w:vAlign w:val="center"/>
          </w:tcPr>
          <w:p>
            <w:pPr>
              <w:adjustRightInd w:val="0"/>
              <w:snapToGrid w:val="0"/>
              <w:rPr>
                <w:rFonts w:ascii="Times New Roman" w:hAnsi="Times New Roman"/>
                <w:color w:val="000000"/>
                <w:sz w:val="20"/>
                <w:szCs w:val="20"/>
              </w:rPr>
            </w:pPr>
            <w:r>
              <w:rPr>
                <w:rFonts w:ascii="Times New Roman" w:hAnsi="Times New Roman"/>
                <w:color w:val="000000"/>
                <w:sz w:val="20"/>
                <w:szCs w:val="20"/>
              </w:rPr>
              <w:t>1. 课堂教学及讨论；</w:t>
            </w:r>
          </w:p>
          <w:p>
            <w:pPr>
              <w:adjustRightInd w:val="0"/>
              <w:snapToGrid w:val="0"/>
              <w:rPr>
                <w:color w:val="000000"/>
                <w:sz w:val="20"/>
                <w:szCs w:val="20"/>
              </w:rPr>
            </w:pPr>
            <w:r>
              <w:rPr>
                <w:rFonts w:ascii="Times New Roman" w:hAnsi="Times New Roman"/>
                <w:color w:val="000000"/>
                <w:sz w:val="20"/>
                <w:szCs w:val="20"/>
              </w:rPr>
              <w:t>2. 学生撰写提交论文作业，教师批改后讲解。</w:t>
            </w:r>
          </w:p>
        </w:tc>
        <w:tc>
          <w:tcPr>
            <w:tcW w:w="862" w:type="pct"/>
            <w:vAlign w:val="center"/>
          </w:tcPr>
          <w:p>
            <w:pPr>
              <w:adjustRightInd w:val="0"/>
              <w:snapToGrid w:val="0"/>
              <w:jc w:val="center"/>
              <w:rPr>
                <w:color w:val="000000"/>
                <w:sz w:val="20"/>
                <w:szCs w:val="20"/>
              </w:rPr>
            </w:pPr>
            <w:r>
              <w:rPr>
                <w:rFonts w:hint="eastAsia"/>
                <w:color w:val="000000"/>
                <w:sz w:val="20"/>
                <w:szCs w:val="20"/>
              </w:rPr>
              <w:t>课堂表现评价</w:t>
            </w:r>
          </w:p>
          <w:p>
            <w:pPr>
              <w:adjustRightInd w:val="0"/>
              <w:snapToGrid w:val="0"/>
              <w:jc w:val="center"/>
              <w:rPr>
                <w:color w:val="000000"/>
                <w:sz w:val="20"/>
                <w:szCs w:val="20"/>
              </w:rPr>
            </w:pPr>
            <w:r>
              <w:rPr>
                <w:rFonts w:hint="eastAsia"/>
                <w:color w:val="000000"/>
                <w:sz w:val="20"/>
                <w:szCs w:val="20"/>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3</w:t>
            </w:r>
          </w:p>
        </w:tc>
        <w:tc>
          <w:tcPr>
            <w:tcW w:w="728"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LO812</w:t>
            </w:r>
          </w:p>
        </w:tc>
        <w:tc>
          <w:tcPr>
            <w:tcW w:w="2097" w:type="pct"/>
            <w:vAlign w:val="center"/>
          </w:tcPr>
          <w:p>
            <w:pPr>
              <w:adjustRightInd w:val="0"/>
              <w:snapToGrid w:val="0"/>
              <w:rPr>
                <w:color w:val="000000"/>
                <w:sz w:val="20"/>
                <w:szCs w:val="20"/>
              </w:rPr>
            </w:pPr>
            <w:r>
              <w:rPr>
                <w:rFonts w:hint="eastAsia"/>
                <w:color w:val="000000"/>
                <w:sz w:val="20"/>
                <w:szCs w:val="20"/>
              </w:rPr>
              <w:t>能全面深入地吸收教学内容，形成自己的感受、体验或观点。</w:t>
            </w:r>
          </w:p>
        </w:tc>
        <w:tc>
          <w:tcPr>
            <w:tcW w:w="952" w:type="pct"/>
            <w:vAlign w:val="center"/>
          </w:tcPr>
          <w:p>
            <w:pPr>
              <w:adjustRightInd w:val="0"/>
              <w:snapToGrid w:val="0"/>
              <w:rPr>
                <w:rFonts w:ascii="Times New Roman" w:hAnsi="Times New Roman"/>
                <w:color w:val="000000"/>
                <w:sz w:val="20"/>
                <w:szCs w:val="20"/>
              </w:rPr>
            </w:pPr>
            <w:r>
              <w:rPr>
                <w:rFonts w:ascii="Times New Roman" w:hAnsi="Times New Roman"/>
                <w:color w:val="000000"/>
                <w:sz w:val="20"/>
                <w:szCs w:val="20"/>
              </w:rPr>
              <w:t>1. 课堂教学及讨论；</w:t>
            </w:r>
          </w:p>
          <w:p>
            <w:pPr>
              <w:adjustRightInd w:val="0"/>
              <w:snapToGrid w:val="0"/>
              <w:rPr>
                <w:color w:val="000000"/>
                <w:sz w:val="20"/>
                <w:szCs w:val="20"/>
              </w:rPr>
            </w:pPr>
            <w:r>
              <w:rPr>
                <w:rFonts w:ascii="Times New Roman" w:hAnsi="Times New Roman"/>
                <w:color w:val="000000"/>
                <w:sz w:val="20"/>
                <w:szCs w:val="20"/>
              </w:rPr>
              <w:t>2. 学生撰写提交论文作业，教师批改后讲解。</w:t>
            </w:r>
          </w:p>
        </w:tc>
        <w:tc>
          <w:tcPr>
            <w:tcW w:w="862" w:type="pct"/>
            <w:vAlign w:val="center"/>
          </w:tcPr>
          <w:p>
            <w:pPr>
              <w:adjustRightInd w:val="0"/>
              <w:snapToGrid w:val="0"/>
              <w:jc w:val="center"/>
              <w:rPr>
                <w:color w:val="000000"/>
                <w:sz w:val="20"/>
                <w:szCs w:val="20"/>
              </w:rPr>
            </w:pPr>
            <w:r>
              <w:rPr>
                <w:rFonts w:hint="eastAsia"/>
                <w:color w:val="000000"/>
                <w:sz w:val="20"/>
                <w:szCs w:val="20"/>
              </w:rPr>
              <w:t>课堂表现评价</w:t>
            </w:r>
          </w:p>
          <w:p>
            <w:pPr>
              <w:adjustRightInd w:val="0"/>
              <w:snapToGrid w:val="0"/>
              <w:jc w:val="center"/>
              <w:rPr>
                <w:color w:val="000000"/>
                <w:sz w:val="20"/>
                <w:szCs w:val="20"/>
              </w:rPr>
            </w:pPr>
            <w:r>
              <w:rPr>
                <w:rFonts w:hint="eastAsia"/>
                <w:color w:val="000000"/>
                <w:sz w:val="20"/>
                <w:szCs w:val="20"/>
              </w:rPr>
              <w:t>作业评价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r>
        <w:rPr>
          <w:rFonts w:hint="eastAsia" w:ascii="黑体" w:hAnsi="宋体" w:eastAsia="黑体"/>
          <w:sz w:val="24"/>
        </w:rPr>
        <w:t>（线下</w:t>
      </w:r>
      <w:r>
        <w:rPr>
          <w:rFonts w:ascii="黑体" w:hAnsi="宋体" w:eastAsia="黑体"/>
          <w:sz w:val="24"/>
        </w:rPr>
        <w:t>32</w:t>
      </w:r>
      <w:r>
        <w:rPr>
          <w:rFonts w:hint="eastAsia" w:ascii="黑体" w:hAnsi="宋体" w:eastAsia="黑体"/>
          <w:sz w:val="24"/>
        </w:rPr>
        <w:t>课时）</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2415"/>
        <w:gridCol w:w="2995"/>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625"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单元</w:t>
            </w:r>
          </w:p>
        </w:tc>
        <w:tc>
          <w:tcPr>
            <w:tcW w:w="1417"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知识点</w:t>
            </w:r>
          </w:p>
        </w:tc>
        <w:tc>
          <w:tcPr>
            <w:tcW w:w="1757"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能力</w:t>
            </w:r>
            <w:r>
              <w:rPr>
                <w:rFonts w:ascii="宋体" w:hAnsi="宋体"/>
                <w:b/>
                <w:sz w:val="18"/>
                <w:szCs w:val="21"/>
              </w:rPr>
              <w:t>要求</w:t>
            </w:r>
          </w:p>
        </w:tc>
        <w:tc>
          <w:tcPr>
            <w:tcW w:w="1199"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教学</w:t>
            </w:r>
            <w:r>
              <w:rPr>
                <w:rFonts w:ascii="宋体" w:hAnsi="宋体"/>
                <w:b/>
                <w:sz w:val="18"/>
                <w:szCs w:val="21"/>
              </w:rPr>
              <w:t>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1"/>
              </w:rPr>
              <w:t xml:space="preserve">1. </w:t>
            </w:r>
            <w:r>
              <w:rPr>
                <w:rFonts w:hint="eastAsia"/>
                <w:sz w:val="20"/>
                <w:szCs w:val="21"/>
              </w:rPr>
              <w:t>导入（</w:t>
            </w:r>
            <w:r>
              <w:rPr>
                <w:rFonts w:ascii="Times New Roman" w:hAnsi="Times New Roman"/>
                <w:sz w:val="20"/>
                <w:szCs w:val="21"/>
              </w:rPr>
              <w:t>1</w:t>
            </w:r>
            <w:r>
              <w:rPr>
                <w:rFonts w:hint="eastAsia"/>
                <w:sz w:val="20"/>
                <w:szCs w:val="21"/>
              </w:rPr>
              <w:t>课时）</w:t>
            </w:r>
          </w:p>
        </w:tc>
        <w:tc>
          <w:tcPr>
            <w:tcW w:w="1417" w:type="pct"/>
            <w:vAlign w:val="center"/>
          </w:tcPr>
          <w:p>
            <w:pPr>
              <w:numPr>
                <w:ilvl w:val="0"/>
                <w:numId w:val="3"/>
              </w:numPr>
              <w:tabs>
                <w:tab w:val="center" w:pos="4153"/>
                <w:tab w:val="right" w:pos="8306"/>
              </w:tabs>
              <w:snapToGrid w:val="0"/>
              <w:jc w:val="left"/>
              <w:rPr>
                <w:rFonts w:hAnsi="宋体"/>
                <w:sz w:val="20"/>
                <w:szCs w:val="20"/>
              </w:rPr>
            </w:pPr>
            <w:r>
              <w:rPr>
                <w:rFonts w:hint="eastAsia" w:hAnsi="宋体"/>
                <w:sz w:val="20"/>
                <w:szCs w:val="20"/>
              </w:rPr>
              <w:t>理解古代神话的基础（一）原始人的万物有灵观；</w:t>
            </w:r>
          </w:p>
          <w:p>
            <w:pPr>
              <w:numPr>
                <w:ilvl w:val="0"/>
                <w:numId w:val="3"/>
              </w:numPr>
              <w:tabs>
                <w:tab w:val="center" w:pos="4153"/>
                <w:tab w:val="right" w:pos="8306"/>
              </w:tabs>
              <w:snapToGrid w:val="0"/>
              <w:jc w:val="left"/>
              <w:rPr>
                <w:rFonts w:hAnsi="宋体"/>
                <w:sz w:val="20"/>
                <w:szCs w:val="20"/>
              </w:rPr>
            </w:pPr>
            <w:r>
              <w:rPr>
                <w:rFonts w:hint="eastAsia" w:hAnsi="宋体"/>
                <w:sz w:val="20"/>
                <w:szCs w:val="20"/>
              </w:rPr>
              <w:t>理解古代神话的基础（二）交感巫术。</w:t>
            </w:r>
          </w:p>
        </w:tc>
        <w:tc>
          <w:tcPr>
            <w:tcW w:w="1757" w:type="pct"/>
            <w:vAlign w:val="center"/>
          </w:tcPr>
          <w:p>
            <w:pPr>
              <w:numPr>
                <w:ilvl w:val="0"/>
                <w:numId w:val="4"/>
              </w:numPr>
              <w:tabs>
                <w:tab w:val="center" w:pos="4153"/>
                <w:tab w:val="right" w:pos="8306"/>
              </w:tabs>
              <w:snapToGrid w:val="0"/>
              <w:jc w:val="left"/>
              <w:rPr>
                <w:rFonts w:hAnsi="宋体"/>
                <w:sz w:val="20"/>
                <w:szCs w:val="20"/>
              </w:rPr>
            </w:pPr>
            <w:r>
              <w:rPr>
                <w:rFonts w:hint="eastAsia" w:hAnsi="宋体"/>
                <w:sz w:val="20"/>
                <w:szCs w:val="20"/>
              </w:rPr>
              <w:t>发现当代日常生活与古希腊神话的联系；</w:t>
            </w:r>
          </w:p>
          <w:p>
            <w:pPr>
              <w:numPr>
                <w:ilvl w:val="0"/>
                <w:numId w:val="4"/>
              </w:numPr>
              <w:tabs>
                <w:tab w:val="center" w:pos="4153"/>
                <w:tab w:val="right" w:pos="8306"/>
              </w:tabs>
              <w:snapToGrid w:val="0"/>
              <w:jc w:val="left"/>
              <w:rPr>
                <w:rFonts w:hAnsi="宋体"/>
                <w:sz w:val="20"/>
                <w:szCs w:val="20"/>
              </w:rPr>
            </w:pPr>
            <w:r>
              <w:rPr>
                <w:rFonts w:hint="eastAsia" w:hAnsi="宋体"/>
                <w:sz w:val="20"/>
                <w:szCs w:val="20"/>
              </w:rPr>
              <w:t>发现当代日常生活中的万物有灵观与交感巫术。</w:t>
            </w:r>
          </w:p>
        </w:tc>
        <w:tc>
          <w:tcPr>
            <w:tcW w:w="1199" w:type="pct"/>
            <w:vAlign w:val="center"/>
          </w:tcPr>
          <w:p>
            <w:pPr>
              <w:tabs>
                <w:tab w:val="center" w:pos="4153"/>
                <w:tab w:val="right" w:pos="8306"/>
              </w:tabs>
              <w:snapToGrid w:val="0"/>
              <w:jc w:val="left"/>
              <w:rPr>
                <w:sz w:val="20"/>
                <w:szCs w:val="21"/>
              </w:rPr>
            </w:pPr>
            <w:r>
              <w:rPr>
                <w:rFonts w:hint="eastAsia"/>
                <w:sz w:val="20"/>
                <w:szCs w:val="21"/>
              </w:rPr>
              <w:t>如何理解万物有灵观和交感巫术的概念，以及它们的具体表现。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1"/>
              </w:rPr>
              <w:t xml:space="preserve">2. </w:t>
            </w:r>
            <w:r>
              <w:rPr>
                <w:rFonts w:hint="eastAsia"/>
                <w:sz w:val="20"/>
                <w:szCs w:val="21"/>
              </w:rPr>
              <w:t>克里特神话与远古希腊（</w:t>
            </w:r>
            <w:r>
              <w:rPr>
                <w:rFonts w:ascii="Times New Roman" w:hAnsi="Times New Roman"/>
                <w:sz w:val="20"/>
                <w:szCs w:val="21"/>
              </w:rPr>
              <w:t>3</w:t>
            </w:r>
            <w:r>
              <w:rPr>
                <w:rFonts w:hint="eastAsia"/>
                <w:sz w:val="20"/>
                <w:szCs w:val="21"/>
              </w:rPr>
              <w:t>课时）</w:t>
            </w:r>
          </w:p>
        </w:tc>
        <w:tc>
          <w:tcPr>
            <w:tcW w:w="141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米诺陶罗斯神话；</w:t>
            </w:r>
          </w:p>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2. 对上述神话的五种</w:t>
            </w:r>
            <w:r>
              <w:rPr>
                <w:rFonts w:hint="eastAsia" w:ascii="Times New Roman" w:hAnsi="Times New Roman"/>
                <w:sz w:val="20"/>
                <w:szCs w:val="21"/>
              </w:rPr>
              <w:t>解释</w:t>
            </w:r>
            <w:r>
              <w:rPr>
                <w:rFonts w:ascii="Times New Roman" w:hAnsi="Times New Roman"/>
                <w:sz w:val="20"/>
                <w:szCs w:val="21"/>
              </w:rPr>
              <w:t>；</w:t>
            </w:r>
          </w:p>
          <w:p>
            <w:pPr>
              <w:tabs>
                <w:tab w:val="center" w:pos="4153"/>
                <w:tab w:val="right" w:pos="8306"/>
              </w:tabs>
              <w:snapToGrid w:val="0"/>
              <w:jc w:val="left"/>
              <w:rPr>
                <w:sz w:val="20"/>
                <w:szCs w:val="21"/>
              </w:rPr>
            </w:pPr>
            <w:r>
              <w:rPr>
                <w:rFonts w:ascii="Times New Roman" w:hAnsi="Times New Roman"/>
                <w:sz w:val="20"/>
                <w:szCs w:val="21"/>
              </w:rPr>
              <w:t>3. 神话反映的远古希腊社会的情况。</w:t>
            </w:r>
          </w:p>
        </w:tc>
        <w:tc>
          <w:tcPr>
            <w:tcW w:w="1757" w:type="pct"/>
            <w:vAlign w:val="center"/>
          </w:tcPr>
          <w:p>
            <w:pPr>
              <w:tabs>
                <w:tab w:val="center" w:pos="4153"/>
                <w:tab w:val="right" w:pos="8306"/>
              </w:tabs>
              <w:snapToGrid w:val="0"/>
              <w:jc w:val="left"/>
              <w:rPr>
                <w:rFonts w:hAnsi="宋体"/>
                <w:sz w:val="20"/>
                <w:szCs w:val="21"/>
              </w:rPr>
            </w:pPr>
            <w:r>
              <w:rPr>
                <w:rFonts w:ascii="Times New Roman" w:hAnsi="Times New Roman"/>
                <w:sz w:val="20"/>
                <w:szCs w:val="21"/>
              </w:rPr>
              <w:t xml:space="preserve">1. </w:t>
            </w:r>
            <w:r>
              <w:rPr>
                <w:rFonts w:hint="eastAsia"/>
                <w:sz w:val="20"/>
                <w:szCs w:val="21"/>
              </w:rPr>
              <w:t>意识到，分析同一则神话可以有不同角度、运用不同的工具；</w:t>
            </w:r>
          </w:p>
          <w:p>
            <w:pPr>
              <w:tabs>
                <w:tab w:val="center" w:pos="4153"/>
                <w:tab w:val="right" w:pos="8306"/>
              </w:tabs>
              <w:snapToGrid w:val="0"/>
              <w:jc w:val="left"/>
              <w:rPr>
                <w:rFonts w:hAnsi="宋体"/>
                <w:sz w:val="20"/>
                <w:szCs w:val="21"/>
              </w:rPr>
            </w:pPr>
            <w:r>
              <w:rPr>
                <w:rFonts w:ascii="Times New Roman" w:hAnsi="Times New Roman"/>
                <w:sz w:val="20"/>
                <w:szCs w:val="21"/>
              </w:rPr>
              <w:t>2.</w:t>
            </w:r>
            <w:r>
              <w:rPr>
                <w:rFonts w:hint="eastAsia" w:hAnsi="宋体"/>
                <w:sz w:val="20"/>
                <w:szCs w:val="21"/>
              </w:rPr>
              <w:t xml:space="preserve"> 意识到，作为一种文明成果的神话，对社会现实的反映是曲折变形的。 </w:t>
            </w:r>
          </w:p>
        </w:tc>
        <w:tc>
          <w:tcPr>
            <w:tcW w:w="1199" w:type="pct"/>
            <w:vAlign w:val="center"/>
          </w:tcPr>
          <w:p>
            <w:pPr>
              <w:tabs>
                <w:tab w:val="center" w:pos="4153"/>
                <w:tab w:val="right" w:pos="8306"/>
              </w:tabs>
              <w:snapToGrid w:val="0"/>
              <w:jc w:val="left"/>
              <w:rPr>
                <w:sz w:val="20"/>
                <w:szCs w:val="21"/>
              </w:rPr>
            </w:pPr>
            <w:r>
              <w:rPr>
                <w:rFonts w:hint="eastAsia"/>
                <w:sz w:val="20"/>
                <w:szCs w:val="21"/>
              </w:rPr>
              <w:t>如何理解用于分析克里特神话的五种神话学观点。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0"/>
              </w:rPr>
              <w:t xml:space="preserve">3. </w:t>
            </w:r>
            <w:r>
              <w:rPr>
                <w:rFonts w:hint="eastAsia" w:hAnsi="宋体"/>
                <w:sz w:val="20"/>
                <w:szCs w:val="20"/>
              </w:rPr>
              <w:t>荷马史诗与黑暗时期（</w:t>
            </w:r>
            <w:r>
              <w:rPr>
                <w:rFonts w:ascii="Times New Roman" w:hAnsi="Times New Roman"/>
                <w:sz w:val="20"/>
                <w:szCs w:val="20"/>
              </w:rPr>
              <w:t>10</w:t>
            </w:r>
            <w:r>
              <w:rPr>
                <w:rFonts w:hint="eastAsia" w:hAnsi="宋体"/>
                <w:sz w:val="20"/>
                <w:szCs w:val="20"/>
              </w:rPr>
              <w:t>课时）</w:t>
            </w:r>
          </w:p>
        </w:tc>
        <w:tc>
          <w:tcPr>
            <w:tcW w:w="1417" w:type="pct"/>
            <w:vAlign w:val="center"/>
          </w:tcPr>
          <w:p>
            <w:pPr>
              <w:numPr>
                <w:ilvl w:val="0"/>
                <w:numId w:val="5"/>
              </w:numPr>
              <w:tabs>
                <w:tab w:val="center" w:pos="4153"/>
                <w:tab w:val="right" w:pos="8306"/>
              </w:tabs>
              <w:snapToGrid w:val="0"/>
              <w:rPr>
                <w:sz w:val="20"/>
                <w:szCs w:val="20"/>
              </w:rPr>
            </w:pPr>
            <w:r>
              <w:rPr>
                <w:rFonts w:hint="eastAsia"/>
                <w:sz w:val="20"/>
                <w:szCs w:val="20"/>
              </w:rPr>
              <w:t>《伊利亚特》的内容与核心思想；</w:t>
            </w:r>
          </w:p>
          <w:p>
            <w:pPr>
              <w:numPr>
                <w:ilvl w:val="0"/>
                <w:numId w:val="5"/>
              </w:numPr>
              <w:tabs>
                <w:tab w:val="center" w:pos="4153"/>
                <w:tab w:val="right" w:pos="8306"/>
              </w:tabs>
              <w:snapToGrid w:val="0"/>
              <w:rPr>
                <w:sz w:val="20"/>
                <w:szCs w:val="20"/>
              </w:rPr>
            </w:pPr>
            <w:r>
              <w:rPr>
                <w:rFonts w:hint="eastAsia"/>
                <w:sz w:val="20"/>
                <w:szCs w:val="20"/>
              </w:rPr>
              <w:t>《奥德赛》的内容与核心思想；</w:t>
            </w:r>
          </w:p>
          <w:p>
            <w:pPr>
              <w:numPr>
                <w:ilvl w:val="0"/>
                <w:numId w:val="5"/>
              </w:numPr>
              <w:tabs>
                <w:tab w:val="center" w:pos="4153"/>
                <w:tab w:val="right" w:pos="8306"/>
              </w:tabs>
              <w:snapToGrid w:val="0"/>
              <w:rPr>
                <w:sz w:val="20"/>
                <w:szCs w:val="20"/>
              </w:rPr>
            </w:pPr>
            <w:r>
              <w:rPr>
                <w:rFonts w:hint="eastAsia"/>
                <w:sz w:val="20"/>
                <w:szCs w:val="20"/>
              </w:rPr>
              <w:t>史诗反映的黑暗时期的古希腊社会情况。</w:t>
            </w:r>
          </w:p>
        </w:tc>
        <w:tc>
          <w:tcPr>
            <w:tcW w:w="1757" w:type="pct"/>
            <w:vAlign w:val="center"/>
          </w:tcPr>
          <w:p>
            <w:pPr>
              <w:numPr>
                <w:ilvl w:val="0"/>
                <w:numId w:val="6"/>
              </w:numPr>
              <w:tabs>
                <w:tab w:val="center" w:pos="4153"/>
                <w:tab w:val="right" w:pos="8306"/>
              </w:tabs>
              <w:snapToGrid w:val="0"/>
              <w:jc w:val="left"/>
              <w:rPr>
                <w:rFonts w:ascii="Times New Roman" w:hAnsi="Times New Roman"/>
                <w:sz w:val="20"/>
                <w:szCs w:val="21"/>
              </w:rPr>
            </w:pPr>
            <w:r>
              <w:rPr>
                <w:rFonts w:hint="eastAsia" w:ascii="Times New Roman" w:hAnsi="Times New Roman"/>
                <w:sz w:val="20"/>
                <w:szCs w:val="21"/>
              </w:rPr>
              <w:t>了解</w:t>
            </w:r>
            <w:r>
              <w:rPr>
                <w:rFonts w:ascii="Times New Roman" w:hAnsi="Times New Roman"/>
                <w:sz w:val="20"/>
                <w:szCs w:val="21"/>
              </w:rPr>
              <w:t>《伊利亚特》《奥德赛》的主要人物与</w:t>
            </w:r>
            <w:r>
              <w:rPr>
                <w:rFonts w:hint="eastAsia" w:ascii="Times New Roman" w:hAnsi="Times New Roman"/>
                <w:sz w:val="20"/>
                <w:szCs w:val="21"/>
              </w:rPr>
              <w:t>情节</w:t>
            </w:r>
            <w:r>
              <w:rPr>
                <w:rFonts w:ascii="Times New Roman" w:hAnsi="Times New Roman"/>
                <w:sz w:val="20"/>
                <w:szCs w:val="21"/>
              </w:rPr>
              <w:t>；</w:t>
            </w:r>
          </w:p>
          <w:p>
            <w:pPr>
              <w:numPr>
                <w:ilvl w:val="0"/>
                <w:numId w:val="6"/>
              </w:numPr>
              <w:tabs>
                <w:tab w:val="center" w:pos="4153"/>
                <w:tab w:val="right" w:pos="8306"/>
              </w:tabs>
              <w:snapToGrid w:val="0"/>
              <w:jc w:val="left"/>
              <w:rPr>
                <w:rFonts w:ascii="Times New Roman" w:hAnsi="Times New Roman"/>
                <w:sz w:val="20"/>
                <w:szCs w:val="21"/>
              </w:rPr>
            </w:pPr>
            <w:r>
              <w:rPr>
                <w:rFonts w:ascii="Times New Roman" w:hAnsi="Times New Roman"/>
                <w:sz w:val="20"/>
                <w:szCs w:val="21"/>
              </w:rPr>
              <w:t>理解口传文化时期，史诗形成的方式；</w:t>
            </w:r>
          </w:p>
          <w:p>
            <w:pPr>
              <w:numPr>
                <w:ilvl w:val="0"/>
                <w:numId w:val="6"/>
              </w:numPr>
              <w:tabs>
                <w:tab w:val="center" w:pos="4153"/>
                <w:tab w:val="right" w:pos="8306"/>
              </w:tabs>
              <w:snapToGrid w:val="0"/>
              <w:jc w:val="left"/>
              <w:rPr>
                <w:rFonts w:ascii="Times New Roman" w:hAnsi="Times New Roman"/>
                <w:sz w:val="20"/>
                <w:szCs w:val="21"/>
              </w:rPr>
            </w:pPr>
            <w:r>
              <w:rPr>
                <w:rFonts w:ascii="Times New Roman" w:hAnsi="Times New Roman"/>
                <w:sz w:val="20"/>
                <w:szCs w:val="21"/>
              </w:rPr>
              <w:t>理解古希腊人的创作观；</w:t>
            </w:r>
          </w:p>
          <w:p>
            <w:pPr>
              <w:numPr>
                <w:ilvl w:val="0"/>
                <w:numId w:val="6"/>
              </w:numPr>
              <w:tabs>
                <w:tab w:val="center" w:pos="4153"/>
                <w:tab w:val="right" w:pos="8306"/>
              </w:tabs>
              <w:snapToGrid w:val="0"/>
              <w:jc w:val="left"/>
              <w:rPr>
                <w:sz w:val="20"/>
                <w:szCs w:val="21"/>
              </w:rPr>
            </w:pPr>
            <w:r>
              <w:rPr>
                <w:rFonts w:ascii="Times New Roman" w:hAnsi="Times New Roman"/>
                <w:sz w:val="20"/>
                <w:szCs w:val="21"/>
              </w:rPr>
              <w:t>理解史诗内容反映的古希腊人的价值观与习俗。</w:t>
            </w:r>
          </w:p>
        </w:tc>
        <w:tc>
          <w:tcPr>
            <w:tcW w:w="1199" w:type="pct"/>
            <w:vAlign w:val="center"/>
          </w:tcPr>
          <w:p>
            <w:pPr>
              <w:numPr>
                <w:ilvl w:val="0"/>
                <w:numId w:val="7"/>
              </w:numPr>
              <w:tabs>
                <w:tab w:val="center" w:pos="4153"/>
                <w:tab w:val="right" w:pos="8306"/>
              </w:tabs>
              <w:snapToGrid w:val="0"/>
              <w:jc w:val="left"/>
              <w:rPr>
                <w:sz w:val="20"/>
                <w:szCs w:val="21"/>
              </w:rPr>
            </w:pPr>
            <w:r>
              <w:rPr>
                <w:rFonts w:hint="eastAsia"/>
                <w:sz w:val="20"/>
                <w:szCs w:val="21"/>
              </w:rPr>
              <w:t>如何理解古希腊人的“主客/宴客”规则；</w:t>
            </w:r>
          </w:p>
          <w:p>
            <w:pPr>
              <w:numPr>
                <w:ilvl w:val="0"/>
                <w:numId w:val="7"/>
              </w:numPr>
              <w:tabs>
                <w:tab w:val="center" w:pos="4153"/>
                <w:tab w:val="right" w:pos="8306"/>
              </w:tabs>
              <w:snapToGrid w:val="0"/>
              <w:jc w:val="left"/>
              <w:rPr>
                <w:sz w:val="20"/>
                <w:szCs w:val="21"/>
              </w:rPr>
            </w:pPr>
            <w:r>
              <w:rPr>
                <w:rFonts w:hint="eastAsia"/>
                <w:sz w:val="20"/>
                <w:szCs w:val="21"/>
              </w:rPr>
              <w:t>如何理解史诗中英雄世界的价值观；</w:t>
            </w:r>
          </w:p>
          <w:p>
            <w:pPr>
              <w:numPr>
                <w:ilvl w:val="0"/>
                <w:numId w:val="7"/>
              </w:numPr>
              <w:tabs>
                <w:tab w:val="center" w:pos="4153"/>
                <w:tab w:val="right" w:pos="8306"/>
              </w:tabs>
              <w:snapToGrid w:val="0"/>
              <w:jc w:val="left"/>
              <w:rPr>
                <w:sz w:val="20"/>
                <w:szCs w:val="21"/>
              </w:rPr>
            </w:pPr>
            <w:r>
              <w:rPr>
                <w:rFonts w:hint="eastAsia"/>
                <w:sz w:val="20"/>
                <w:szCs w:val="21"/>
              </w:rPr>
              <w:t>如何理解“阿喀琉斯之怒”的意义。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1"/>
              </w:rPr>
              <w:t xml:space="preserve">4. </w:t>
            </w:r>
            <w:r>
              <w:rPr>
                <w:rFonts w:hint="eastAsia"/>
                <w:sz w:val="20"/>
                <w:szCs w:val="21"/>
              </w:rPr>
              <w:t>奥林匹斯神话与古典时期（一）（</w:t>
            </w:r>
            <w:r>
              <w:rPr>
                <w:rFonts w:ascii="Times New Roman" w:hAnsi="Times New Roman"/>
                <w:sz w:val="20"/>
                <w:szCs w:val="21"/>
              </w:rPr>
              <w:t>9</w:t>
            </w:r>
            <w:r>
              <w:rPr>
                <w:rFonts w:hint="eastAsia"/>
                <w:sz w:val="20"/>
                <w:szCs w:val="21"/>
              </w:rPr>
              <w:t>课时）</w:t>
            </w:r>
          </w:p>
        </w:tc>
        <w:tc>
          <w:tcPr>
            <w:tcW w:w="141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古希腊的创世神话；</w:t>
            </w:r>
          </w:p>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2. 古希腊众神的名称和</w:t>
            </w:r>
            <w:r>
              <w:rPr>
                <w:rFonts w:hint="eastAsia" w:ascii="Times New Roman" w:hAnsi="Times New Roman"/>
                <w:sz w:val="20"/>
                <w:szCs w:val="21"/>
              </w:rPr>
              <w:t>职能</w:t>
            </w:r>
            <w:r>
              <w:rPr>
                <w:rFonts w:ascii="Times New Roman" w:hAnsi="Times New Roman"/>
                <w:sz w:val="20"/>
                <w:szCs w:val="21"/>
              </w:rPr>
              <w:t>；</w:t>
            </w:r>
          </w:p>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3. 古希腊的祭祀仪式。</w:t>
            </w:r>
          </w:p>
        </w:tc>
        <w:tc>
          <w:tcPr>
            <w:tcW w:w="175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 xml:space="preserve">1. </w:t>
            </w:r>
            <w:r>
              <w:rPr>
                <w:rFonts w:hint="eastAsia" w:ascii="Times New Roman" w:hAnsi="Times New Roman"/>
                <w:sz w:val="20"/>
                <w:szCs w:val="21"/>
              </w:rPr>
              <w:t>认识</w:t>
            </w:r>
            <w:r>
              <w:rPr>
                <w:rFonts w:ascii="Times New Roman" w:hAnsi="Times New Roman"/>
                <w:sz w:val="20"/>
                <w:szCs w:val="21"/>
              </w:rPr>
              <w:t>古希腊神话与古希腊哲学、艺术的关系；</w:t>
            </w:r>
          </w:p>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 xml:space="preserve">2. </w:t>
            </w:r>
            <w:r>
              <w:rPr>
                <w:rFonts w:hint="eastAsia" w:ascii="Times New Roman" w:hAnsi="Times New Roman"/>
                <w:sz w:val="20"/>
                <w:szCs w:val="21"/>
              </w:rPr>
              <w:t>了解</w:t>
            </w:r>
            <w:r>
              <w:rPr>
                <w:rFonts w:ascii="Times New Roman" w:hAnsi="Times New Roman"/>
                <w:sz w:val="20"/>
                <w:szCs w:val="21"/>
              </w:rPr>
              <w:t>埃及、近东文化对古希腊的影响；</w:t>
            </w:r>
          </w:p>
          <w:p>
            <w:pPr>
              <w:tabs>
                <w:tab w:val="center" w:pos="4153"/>
                <w:tab w:val="right" w:pos="8306"/>
              </w:tabs>
              <w:snapToGrid w:val="0"/>
              <w:jc w:val="left"/>
              <w:rPr>
                <w:rFonts w:hAnsi="宋体"/>
                <w:sz w:val="20"/>
                <w:szCs w:val="21"/>
              </w:rPr>
            </w:pPr>
            <w:r>
              <w:rPr>
                <w:rFonts w:ascii="Times New Roman" w:hAnsi="Times New Roman"/>
                <w:sz w:val="20"/>
                <w:szCs w:val="21"/>
              </w:rPr>
              <w:t xml:space="preserve">3. </w:t>
            </w:r>
            <w:r>
              <w:rPr>
                <w:rFonts w:hint="eastAsia" w:ascii="Times New Roman" w:hAnsi="Times New Roman"/>
                <w:sz w:val="20"/>
                <w:szCs w:val="21"/>
              </w:rPr>
              <w:t>比较中国古典神话与古希腊神话的异同。</w:t>
            </w:r>
          </w:p>
        </w:tc>
        <w:tc>
          <w:tcPr>
            <w:tcW w:w="1199"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如何理解中西古代神话的相似与区别。</w:t>
            </w:r>
          </w:p>
          <w:p>
            <w:pPr>
              <w:tabs>
                <w:tab w:val="center" w:pos="4153"/>
                <w:tab w:val="right" w:pos="8306"/>
              </w:tabs>
              <w:snapToGrid w:val="0"/>
              <w:jc w:val="left"/>
              <w:rPr>
                <w:sz w:val="20"/>
                <w:szCs w:val="21"/>
              </w:rPr>
            </w:pPr>
            <w:r>
              <w:rPr>
                <w:rFonts w:ascii="Times New Roman" w:hAnsi="Times New Roman"/>
                <w:sz w:val="20"/>
                <w:szCs w:val="21"/>
              </w:rPr>
              <w:t>2. 如何理解宗教场所的兴建</w:t>
            </w:r>
            <w:r>
              <w:rPr>
                <w:rFonts w:hint="eastAsia" w:ascii="Times New Roman" w:hAnsi="Times New Roman"/>
                <w:sz w:val="20"/>
                <w:szCs w:val="21"/>
              </w:rPr>
              <w:t>、</w:t>
            </w:r>
            <w:r>
              <w:rPr>
                <w:rFonts w:ascii="Times New Roman" w:hAnsi="Times New Roman"/>
                <w:sz w:val="20"/>
                <w:szCs w:val="21"/>
              </w:rPr>
              <w:t>神庙经济的产生，导致了人口聚集与城邦的产生。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1"/>
              </w:rPr>
              <w:t>5.</w:t>
            </w:r>
            <w:r>
              <w:rPr>
                <w:rFonts w:hint="eastAsia"/>
                <w:sz w:val="20"/>
                <w:szCs w:val="21"/>
              </w:rPr>
              <w:t xml:space="preserve"> 奥林匹斯神话与古典时期（二）（</w:t>
            </w:r>
            <w:r>
              <w:rPr>
                <w:rFonts w:ascii="Times New Roman" w:hAnsi="Times New Roman"/>
                <w:sz w:val="20"/>
                <w:szCs w:val="21"/>
              </w:rPr>
              <w:t>9</w:t>
            </w:r>
            <w:r>
              <w:rPr>
                <w:rFonts w:hint="eastAsia"/>
                <w:sz w:val="20"/>
                <w:szCs w:val="21"/>
              </w:rPr>
              <w:t>课时）</w:t>
            </w:r>
          </w:p>
        </w:tc>
        <w:tc>
          <w:tcPr>
            <w:tcW w:w="141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 xml:space="preserve">1. </w:t>
            </w:r>
            <w:r>
              <w:rPr>
                <w:rFonts w:hint="eastAsia" w:ascii="Times New Roman" w:hAnsi="Times New Roman"/>
                <w:sz w:val="20"/>
                <w:szCs w:val="21"/>
              </w:rPr>
              <w:t>古希腊</w:t>
            </w:r>
            <w:r>
              <w:rPr>
                <w:rFonts w:ascii="Times New Roman" w:hAnsi="Times New Roman"/>
                <w:sz w:val="20"/>
                <w:szCs w:val="21"/>
              </w:rPr>
              <w:t>戏剧</w:t>
            </w:r>
            <w:r>
              <w:rPr>
                <w:rFonts w:hint="eastAsia" w:ascii="Times New Roman" w:hAnsi="Times New Roman"/>
                <w:sz w:val="20"/>
                <w:szCs w:val="21"/>
              </w:rPr>
              <w:t>中的</w:t>
            </w:r>
            <w:r>
              <w:rPr>
                <w:rFonts w:ascii="Times New Roman" w:hAnsi="Times New Roman"/>
                <w:sz w:val="20"/>
                <w:szCs w:val="21"/>
              </w:rPr>
              <w:t>奥林匹斯神话；</w:t>
            </w:r>
          </w:p>
          <w:p>
            <w:pPr>
              <w:tabs>
                <w:tab w:val="center" w:pos="4153"/>
                <w:tab w:val="right" w:pos="8306"/>
              </w:tabs>
              <w:snapToGrid w:val="0"/>
              <w:jc w:val="left"/>
              <w:rPr>
                <w:sz w:val="20"/>
                <w:szCs w:val="21"/>
              </w:rPr>
            </w:pPr>
            <w:r>
              <w:rPr>
                <w:rFonts w:ascii="Times New Roman" w:hAnsi="Times New Roman"/>
                <w:sz w:val="20"/>
                <w:szCs w:val="21"/>
              </w:rPr>
              <w:t>2. 古希腊戏剧节。</w:t>
            </w:r>
          </w:p>
        </w:tc>
        <w:tc>
          <w:tcPr>
            <w:tcW w:w="175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了解以神话为题材的古希腊戏剧的</w:t>
            </w:r>
            <w:r>
              <w:rPr>
                <w:rFonts w:hint="eastAsia" w:ascii="Times New Roman" w:hAnsi="Times New Roman"/>
                <w:sz w:val="20"/>
                <w:szCs w:val="21"/>
              </w:rPr>
              <w:t>主要</w:t>
            </w:r>
            <w:r>
              <w:rPr>
                <w:rFonts w:ascii="Times New Roman" w:hAnsi="Times New Roman"/>
                <w:sz w:val="20"/>
                <w:szCs w:val="21"/>
              </w:rPr>
              <w:t>内容；</w:t>
            </w:r>
          </w:p>
          <w:p>
            <w:pPr>
              <w:tabs>
                <w:tab w:val="center" w:pos="4153"/>
                <w:tab w:val="right" w:pos="8306"/>
              </w:tabs>
              <w:snapToGrid w:val="0"/>
              <w:jc w:val="left"/>
              <w:rPr>
                <w:rFonts w:hAnsi="宋体"/>
                <w:sz w:val="20"/>
                <w:szCs w:val="21"/>
              </w:rPr>
            </w:pPr>
            <w:r>
              <w:rPr>
                <w:rFonts w:ascii="Times New Roman" w:hAnsi="Times New Roman"/>
                <w:sz w:val="20"/>
                <w:szCs w:val="21"/>
              </w:rPr>
              <w:t>2. 了解古希腊戏剧节的组织与演出机制。</w:t>
            </w:r>
          </w:p>
        </w:tc>
        <w:tc>
          <w:tcPr>
            <w:tcW w:w="1199"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如何理解古希腊戏剧所体现的命运观、女性观、权利观；</w:t>
            </w:r>
          </w:p>
          <w:p>
            <w:pPr>
              <w:tabs>
                <w:tab w:val="center" w:pos="4153"/>
                <w:tab w:val="right" w:pos="8306"/>
              </w:tabs>
              <w:snapToGrid w:val="0"/>
              <w:jc w:val="left"/>
              <w:rPr>
                <w:sz w:val="20"/>
                <w:szCs w:val="21"/>
              </w:rPr>
            </w:pPr>
            <w:r>
              <w:rPr>
                <w:rFonts w:ascii="Times New Roman" w:hAnsi="Times New Roman"/>
                <w:sz w:val="20"/>
                <w:szCs w:val="21"/>
              </w:rPr>
              <w:t>2. 如何从戏剧节的运作机制理解古希腊城邦的社会生活。</w:t>
            </w:r>
          </w:p>
        </w:tc>
      </w:tr>
    </w:tbl>
    <w:p>
      <w:pPr>
        <w:snapToGrid w:val="0"/>
        <w:spacing w:line="288" w:lineRule="auto"/>
        <w:ind w:right="2520"/>
        <w:rPr>
          <w:sz w:val="20"/>
          <w:szCs w:val="20"/>
        </w:rPr>
      </w:pPr>
    </w:p>
    <w:tbl>
      <w:tblPr>
        <w:tblStyle w:val="7"/>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
                <w:color w:val="000000"/>
                <w:szCs w:val="20"/>
              </w:rPr>
            </w:pPr>
            <w:r>
              <w:rPr>
                <w:rFonts w:hint="eastAsia" w:ascii="宋体" w:hAnsi="宋体"/>
                <w:b/>
                <w:color w:val="000000"/>
                <w:szCs w:val="20"/>
              </w:rPr>
              <w:t>总评构成（全X）</w:t>
            </w:r>
          </w:p>
        </w:tc>
        <w:tc>
          <w:tcPr>
            <w:tcW w:w="5103" w:type="dxa"/>
            <w:shd w:val="clear" w:color="auto" w:fill="auto"/>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评价方式</w:t>
            </w:r>
          </w:p>
        </w:tc>
        <w:tc>
          <w:tcPr>
            <w:tcW w:w="1843" w:type="dxa"/>
            <w:shd w:val="clear" w:color="auto" w:fill="auto"/>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X1</w:t>
            </w:r>
          </w:p>
        </w:tc>
        <w:tc>
          <w:tcPr>
            <w:tcW w:w="5103" w:type="dxa"/>
            <w:shd w:val="clear" w:color="auto" w:fill="auto"/>
            <w:vAlign w:val="center"/>
          </w:tcPr>
          <w:p>
            <w:pPr>
              <w:snapToGrid w:val="0"/>
              <w:spacing w:before="156" w:beforeLines="50" w:after="156" w:afterLines="50"/>
              <w:rPr>
                <w:rFonts w:ascii="宋体" w:hAnsi="宋体"/>
                <w:bCs/>
                <w:color w:val="000000"/>
                <w:szCs w:val="20"/>
              </w:rPr>
            </w:pPr>
            <w:r>
              <w:rPr>
                <w:rFonts w:hint="eastAsia"/>
              </w:rPr>
              <w:t>以古希腊神话的某一方面为切入点谈学习所得，</w:t>
            </w:r>
            <w:r>
              <w:rPr>
                <w:rFonts w:ascii="Times New Roman" w:hAnsi="Times New Roman"/>
              </w:rPr>
              <w:t>1000</w:t>
            </w:r>
            <w:r>
              <w:rPr>
                <w:rFonts w:hint="eastAsia"/>
              </w:rPr>
              <w:t>字左右</w:t>
            </w:r>
          </w:p>
        </w:tc>
        <w:tc>
          <w:tcPr>
            <w:tcW w:w="1843"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X2</w:t>
            </w:r>
          </w:p>
        </w:tc>
        <w:tc>
          <w:tcPr>
            <w:tcW w:w="5103" w:type="dxa"/>
            <w:shd w:val="clear" w:color="auto" w:fill="auto"/>
            <w:vAlign w:val="center"/>
          </w:tcPr>
          <w:p>
            <w:pPr>
              <w:snapToGrid w:val="0"/>
              <w:spacing w:before="156" w:beforeLines="50" w:after="156" w:afterLines="50"/>
              <w:rPr>
                <w:rFonts w:ascii="宋体" w:hAnsi="宋体"/>
                <w:bCs/>
                <w:color w:val="000000"/>
                <w:szCs w:val="20"/>
              </w:rPr>
            </w:pPr>
            <w:r>
              <w:rPr>
                <w:rFonts w:hint="eastAsia"/>
              </w:rPr>
              <w:t>以古典时期希腊文明的某一方面为切入点谈学习所得，</w:t>
            </w:r>
            <w:r>
              <w:rPr>
                <w:rFonts w:ascii="Times New Roman" w:hAnsi="Times New Roman"/>
              </w:rPr>
              <w:t>1000</w:t>
            </w:r>
            <w:r>
              <w:rPr>
                <w:rFonts w:hint="eastAsia"/>
              </w:rPr>
              <w:t>字左右</w:t>
            </w:r>
          </w:p>
        </w:tc>
        <w:tc>
          <w:tcPr>
            <w:tcW w:w="1843"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X3</w:t>
            </w:r>
          </w:p>
        </w:tc>
        <w:tc>
          <w:tcPr>
            <w:tcW w:w="5103" w:type="dxa"/>
            <w:shd w:val="clear" w:color="auto" w:fill="auto"/>
            <w:vAlign w:val="center"/>
          </w:tcPr>
          <w:p>
            <w:pPr>
              <w:snapToGrid w:val="0"/>
              <w:spacing w:before="156" w:beforeLines="50" w:after="156" w:afterLines="50"/>
              <w:rPr>
                <w:rFonts w:ascii="宋体" w:hAnsi="宋体"/>
                <w:bCs/>
                <w:color w:val="000000"/>
                <w:szCs w:val="20"/>
              </w:rPr>
            </w:pPr>
            <w:r>
              <w:rPr>
                <w:rFonts w:hint="eastAsia"/>
              </w:rPr>
              <w:t>就全部讲课内容，以“神话与古希腊社会”为切入点谈学习所得，</w:t>
            </w:r>
            <w:r>
              <w:rPr>
                <w:rFonts w:ascii="Times New Roman" w:hAnsi="Times New Roman"/>
              </w:rPr>
              <w:t>1500</w:t>
            </w:r>
            <w:r>
              <w:rPr>
                <w:rFonts w:hint="eastAsia"/>
              </w:rPr>
              <w:t>字左右</w:t>
            </w:r>
          </w:p>
        </w:tc>
        <w:tc>
          <w:tcPr>
            <w:tcW w:w="1843"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rPr>
              <w:t>X4</w:t>
            </w:r>
          </w:p>
        </w:tc>
        <w:tc>
          <w:tcPr>
            <w:tcW w:w="5103" w:type="dxa"/>
            <w:shd w:val="clear" w:color="auto" w:fill="auto"/>
            <w:vAlign w:val="center"/>
          </w:tcPr>
          <w:p>
            <w:pPr>
              <w:snapToGrid w:val="0"/>
              <w:spacing w:before="156" w:beforeLines="50" w:after="156" w:afterLines="50"/>
            </w:pPr>
            <w:r>
              <w:rPr>
                <w:rFonts w:hint="eastAsia"/>
              </w:rPr>
              <w:t>各类延伸阅读</w:t>
            </w:r>
          </w:p>
        </w:tc>
        <w:tc>
          <w:tcPr>
            <w:tcW w:w="1843" w:type="dxa"/>
            <w:shd w:val="clear" w:color="auto" w:fill="auto"/>
            <w:vAlign w:val="center"/>
          </w:tcPr>
          <w:p>
            <w:pPr>
              <w:snapToGrid w:val="0"/>
              <w:spacing w:before="156" w:beforeLines="50" w:after="156" w:afterLines="50"/>
              <w:jc w:val="center"/>
              <w:rPr>
                <w:rFonts w:ascii="Times New Roman" w:hAnsi="Times New Roman"/>
              </w:rPr>
            </w:pPr>
            <w:r>
              <w:rPr>
                <w:rFonts w:ascii="Times New Roman" w:hAnsi="Times New Roman"/>
              </w:rPr>
              <w:t>10%</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rPr>
          <w:sz w:val="28"/>
          <w:szCs w:val="28"/>
        </w:rPr>
      </w:pPr>
      <w:r>
        <w:rPr>
          <w:rFonts w:hint="eastAsia"/>
          <w:sz w:val="28"/>
          <w:szCs w:val="28"/>
        </w:rPr>
        <w:t>撰写人：陈佳寒             系主任审核签名：</w:t>
      </w:r>
      <w:r>
        <w:rPr>
          <w:sz w:val="28"/>
          <w:szCs w:val="28"/>
        </w:rPr>
        <w:drawing>
          <wp:inline distT="0" distB="0" distL="0" distR="0">
            <wp:extent cx="403860" cy="256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8165" cy="259200"/>
                    </a:xfrm>
                    <a:prstGeom prst="rect">
                      <a:avLst/>
                    </a:prstGeom>
                    <a:noFill/>
                    <a:ln>
                      <a:noFill/>
                    </a:ln>
                  </pic:spPr>
                </pic:pic>
              </a:graphicData>
            </a:graphic>
          </wp:inline>
        </w:drawing>
      </w:r>
    </w:p>
    <w:p>
      <w:pPr>
        <w:snapToGrid w:val="0"/>
        <w:spacing w:line="288" w:lineRule="auto"/>
        <w:rPr>
          <w:sz w:val="28"/>
          <w:szCs w:val="28"/>
        </w:rPr>
      </w:pPr>
    </w:p>
    <w:p>
      <w:pPr>
        <w:snapToGrid w:val="0"/>
        <w:spacing w:line="288" w:lineRule="auto"/>
        <w:rPr>
          <w:sz w:val="28"/>
          <w:szCs w:val="28"/>
        </w:rPr>
      </w:pPr>
      <w:r>
        <w:rPr>
          <w:rFonts w:hint="eastAsia"/>
          <w:sz w:val="28"/>
          <w:szCs w:val="28"/>
        </w:rPr>
        <w:t>审核时间：</w:t>
      </w:r>
      <w:r>
        <w:rPr>
          <w:rFonts w:ascii="Times New Roman" w:hAnsi="Times New Roman"/>
          <w:sz w:val="28"/>
          <w:szCs w:val="28"/>
        </w:rPr>
        <w:t>202</w:t>
      </w:r>
      <w:r>
        <w:rPr>
          <w:rFonts w:hint="eastAsia" w:ascii="Times New Roman" w:hAnsi="Times New Roman"/>
          <w:sz w:val="28"/>
          <w:szCs w:val="28"/>
          <w:lang w:val="en-US" w:eastAsia="zh-CN"/>
        </w:rPr>
        <w:t>3</w:t>
      </w:r>
      <w:r>
        <w:rPr>
          <w:rFonts w:ascii="Times New Roman" w:hAnsi="Times New Roman"/>
          <w:sz w:val="28"/>
          <w:szCs w:val="28"/>
        </w:rPr>
        <w:t>.0</w:t>
      </w:r>
      <w:r>
        <w:rPr>
          <w:rFonts w:hint="eastAsia" w:ascii="Times New Roman" w:hAnsi="Times New Roman"/>
          <w:sz w:val="28"/>
          <w:szCs w:val="28"/>
          <w:lang w:val="en-US" w:eastAsia="zh-CN"/>
        </w:rPr>
        <w:t>8</w:t>
      </w:r>
      <w:r>
        <w:rPr>
          <w:rFonts w:ascii="Times New Roman" w:hAnsi="Times New Roman"/>
          <w:sz w:val="28"/>
          <w:szCs w:val="28"/>
        </w:rPr>
        <w:t>.</w:t>
      </w:r>
      <w:r>
        <w:rPr>
          <w:rFonts w:hint="eastAsia" w:ascii="Times New Roman" w:hAnsi="Times New Roman"/>
          <w:sz w:val="28"/>
          <w:szCs w:val="28"/>
          <w:lang w:val="en-US" w:eastAsia="zh-CN"/>
        </w:rPr>
        <w:t>2</w:t>
      </w:r>
      <w:r>
        <w:rPr>
          <w:rFonts w:ascii="Times New Roman" w:hAnsi="Times New Roman"/>
          <w:sz w:val="28"/>
          <w:szCs w:val="28"/>
        </w:rPr>
        <w:t>1</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C3AAC"/>
    <w:multiLevelType w:val="singleLevel"/>
    <w:tmpl w:val="971C3AAC"/>
    <w:lvl w:ilvl="0" w:tentative="0">
      <w:start w:val="1"/>
      <w:numFmt w:val="decimal"/>
      <w:suff w:val="space"/>
      <w:lvlText w:val="%1."/>
      <w:lvlJc w:val="left"/>
      <w:rPr>
        <w:rFonts w:hint="default" w:ascii="Times New Roman" w:hAnsi="Times New Roman" w:cs="Times New Roman"/>
      </w:rPr>
    </w:lvl>
  </w:abstractNum>
  <w:abstractNum w:abstractNumId="1">
    <w:nsid w:val="99041514"/>
    <w:multiLevelType w:val="singleLevel"/>
    <w:tmpl w:val="99041514"/>
    <w:lvl w:ilvl="0" w:tentative="0">
      <w:start w:val="1"/>
      <w:numFmt w:val="decimal"/>
      <w:suff w:val="space"/>
      <w:lvlText w:val="%1."/>
      <w:lvlJc w:val="left"/>
      <w:rPr>
        <w:rFonts w:hint="default" w:ascii="Times New Roman" w:hAnsi="Times New Roman" w:cs="Times New Roman"/>
      </w:rPr>
    </w:lvl>
  </w:abstractNum>
  <w:abstractNum w:abstractNumId="2">
    <w:nsid w:val="12BB71A8"/>
    <w:multiLevelType w:val="singleLevel"/>
    <w:tmpl w:val="12BB71A8"/>
    <w:lvl w:ilvl="0" w:tentative="0">
      <w:start w:val="1"/>
      <w:numFmt w:val="decimal"/>
      <w:suff w:val="space"/>
      <w:lvlText w:val="%1."/>
      <w:lvlJc w:val="left"/>
      <w:rPr>
        <w:rFonts w:hint="default" w:ascii="Times New Roman" w:hAnsi="Times New Roman" w:cs="Times New Roman"/>
      </w:rPr>
    </w:lvl>
  </w:abstractNum>
  <w:abstractNum w:abstractNumId="3">
    <w:nsid w:val="1C6B0744"/>
    <w:multiLevelType w:val="singleLevel"/>
    <w:tmpl w:val="1C6B0744"/>
    <w:lvl w:ilvl="0" w:tentative="0">
      <w:start w:val="1"/>
      <w:numFmt w:val="decimal"/>
      <w:suff w:val="space"/>
      <w:lvlText w:val="%1."/>
      <w:lvlJc w:val="left"/>
      <w:rPr>
        <w:rFonts w:hint="default" w:ascii="Times New Roman" w:hAnsi="Times New Roman" w:cs="Times New Roman"/>
      </w:rPr>
    </w:lvl>
  </w:abstractNum>
  <w:abstractNum w:abstractNumId="4">
    <w:nsid w:val="5A8F409D"/>
    <w:multiLevelType w:val="singleLevel"/>
    <w:tmpl w:val="5A8F409D"/>
    <w:lvl w:ilvl="0" w:tentative="0">
      <w:start w:val="1"/>
      <w:numFmt w:val="decimal"/>
      <w:suff w:val="space"/>
      <w:lvlText w:val="%1."/>
      <w:lvlJc w:val="left"/>
      <w:rPr>
        <w:rFonts w:hint="default" w:ascii="Times New Roman" w:hAnsi="Times New Roman" w:cs="Times New Roman"/>
      </w:rPr>
    </w:lvl>
  </w:abstractNum>
  <w:abstractNum w:abstractNumId="5">
    <w:nsid w:val="663C54F8"/>
    <w:multiLevelType w:val="multilevel"/>
    <w:tmpl w:val="663C54F8"/>
    <w:lvl w:ilvl="0" w:tentative="0">
      <w:start w:val="1"/>
      <w:numFmt w:val="decimal"/>
      <w:lvlText w:val="%1."/>
      <w:lvlJc w:val="left"/>
      <w:pPr>
        <w:ind w:left="1178" w:hanging="360"/>
      </w:pPr>
      <w:rPr>
        <w:rFonts w:ascii="Times New Roman" w:hAnsi="Times New Roman" w:cs="Times New Roman" w:eastAsiaTheme="minorEastAsia"/>
      </w:rPr>
    </w:lvl>
    <w:lvl w:ilvl="1" w:tentative="0">
      <w:start w:val="1"/>
      <w:numFmt w:val="lowerLetter"/>
      <w:lvlText w:val="%2)"/>
      <w:lvlJc w:val="left"/>
      <w:pPr>
        <w:ind w:left="1658" w:hanging="420"/>
      </w:pPr>
    </w:lvl>
    <w:lvl w:ilvl="2" w:tentative="0">
      <w:start w:val="1"/>
      <w:numFmt w:val="lowerRoman"/>
      <w:lvlText w:val="%3."/>
      <w:lvlJc w:val="right"/>
      <w:pPr>
        <w:ind w:left="2078" w:hanging="420"/>
      </w:pPr>
    </w:lvl>
    <w:lvl w:ilvl="3" w:tentative="0">
      <w:start w:val="1"/>
      <w:numFmt w:val="decimal"/>
      <w:lvlText w:val="%4."/>
      <w:lvlJc w:val="left"/>
      <w:pPr>
        <w:ind w:left="2498" w:hanging="420"/>
      </w:pPr>
    </w:lvl>
    <w:lvl w:ilvl="4" w:tentative="0">
      <w:start w:val="1"/>
      <w:numFmt w:val="lowerLetter"/>
      <w:lvlText w:val="%5)"/>
      <w:lvlJc w:val="left"/>
      <w:pPr>
        <w:ind w:left="2918" w:hanging="420"/>
      </w:pPr>
    </w:lvl>
    <w:lvl w:ilvl="5" w:tentative="0">
      <w:start w:val="1"/>
      <w:numFmt w:val="lowerRoman"/>
      <w:lvlText w:val="%6."/>
      <w:lvlJc w:val="right"/>
      <w:pPr>
        <w:ind w:left="3338" w:hanging="420"/>
      </w:pPr>
    </w:lvl>
    <w:lvl w:ilvl="6" w:tentative="0">
      <w:start w:val="1"/>
      <w:numFmt w:val="decimal"/>
      <w:lvlText w:val="%7."/>
      <w:lvlJc w:val="left"/>
      <w:pPr>
        <w:ind w:left="3758" w:hanging="420"/>
      </w:pPr>
    </w:lvl>
    <w:lvl w:ilvl="7" w:tentative="0">
      <w:start w:val="1"/>
      <w:numFmt w:val="lowerLetter"/>
      <w:lvlText w:val="%8)"/>
      <w:lvlJc w:val="left"/>
      <w:pPr>
        <w:ind w:left="4178" w:hanging="420"/>
      </w:pPr>
    </w:lvl>
    <w:lvl w:ilvl="8" w:tentative="0">
      <w:start w:val="1"/>
      <w:numFmt w:val="lowerRoman"/>
      <w:lvlText w:val="%9."/>
      <w:lvlJc w:val="right"/>
      <w:pPr>
        <w:ind w:left="4598" w:hanging="420"/>
      </w:pPr>
    </w:lvl>
  </w:abstractNum>
  <w:abstractNum w:abstractNumId="6">
    <w:nsid w:val="7CFC9F46"/>
    <w:multiLevelType w:val="singleLevel"/>
    <w:tmpl w:val="7CFC9F46"/>
    <w:lvl w:ilvl="0" w:tentative="0">
      <w:start w:val="1"/>
      <w:numFmt w:val="decimal"/>
      <w:suff w:val="space"/>
      <w:lvlText w:val="%1."/>
      <w:lvlJc w:val="left"/>
      <w:rPr>
        <w:rFonts w:hint="default" w:ascii="Times New Roman" w:hAnsi="Times New Roman" w:cs="Times New Roman"/>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ViN2ZlYjU4MDVhZTU0MDA3MjkxZjY5NjkwMWQ2ZTUifQ=="/>
  </w:docVars>
  <w:rsids>
    <w:rsidRoot w:val="00B7651F"/>
    <w:rsid w:val="000041E0"/>
    <w:rsid w:val="00013D08"/>
    <w:rsid w:val="00071A19"/>
    <w:rsid w:val="0007362F"/>
    <w:rsid w:val="000825E7"/>
    <w:rsid w:val="000D49BC"/>
    <w:rsid w:val="000E03FF"/>
    <w:rsid w:val="00160B8C"/>
    <w:rsid w:val="001720FA"/>
    <w:rsid w:val="001E073D"/>
    <w:rsid w:val="001F4A01"/>
    <w:rsid w:val="002505D7"/>
    <w:rsid w:val="00256B39"/>
    <w:rsid w:val="0026033C"/>
    <w:rsid w:val="002E3721"/>
    <w:rsid w:val="002F1A16"/>
    <w:rsid w:val="00313BBA"/>
    <w:rsid w:val="0032602E"/>
    <w:rsid w:val="003367AE"/>
    <w:rsid w:val="003C3F6D"/>
    <w:rsid w:val="003F1372"/>
    <w:rsid w:val="003F61BA"/>
    <w:rsid w:val="004045AC"/>
    <w:rsid w:val="004100B0"/>
    <w:rsid w:val="00445DBA"/>
    <w:rsid w:val="004523BC"/>
    <w:rsid w:val="00463F67"/>
    <w:rsid w:val="004F4BAB"/>
    <w:rsid w:val="00515B5C"/>
    <w:rsid w:val="005467DC"/>
    <w:rsid w:val="00551501"/>
    <w:rsid w:val="00553D03"/>
    <w:rsid w:val="005B2B6D"/>
    <w:rsid w:val="005B4B4E"/>
    <w:rsid w:val="00611232"/>
    <w:rsid w:val="00624FE1"/>
    <w:rsid w:val="00635E06"/>
    <w:rsid w:val="00685008"/>
    <w:rsid w:val="00686030"/>
    <w:rsid w:val="00692B83"/>
    <w:rsid w:val="006E01E9"/>
    <w:rsid w:val="007208D6"/>
    <w:rsid w:val="00754B30"/>
    <w:rsid w:val="00760110"/>
    <w:rsid w:val="00800AF4"/>
    <w:rsid w:val="00833457"/>
    <w:rsid w:val="00865A0A"/>
    <w:rsid w:val="00886D74"/>
    <w:rsid w:val="00894A30"/>
    <w:rsid w:val="008B05FB"/>
    <w:rsid w:val="008B397C"/>
    <w:rsid w:val="008B47F4"/>
    <w:rsid w:val="008F565C"/>
    <w:rsid w:val="00900019"/>
    <w:rsid w:val="00906829"/>
    <w:rsid w:val="00921DAA"/>
    <w:rsid w:val="0099063E"/>
    <w:rsid w:val="009A1B05"/>
    <w:rsid w:val="009A2BEB"/>
    <w:rsid w:val="009A4297"/>
    <w:rsid w:val="009D7B07"/>
    <w:rsid w:val="009F2C45"/>
    <w:rsid w:val="00A053E9"/>
    <w:rsid w:val="00AA077F"/>
    <w:rsid w:val="00AB2EF2"/>
    <w:rsid w:val="00B01DF7"/>
    <w:rsid w:val="00B11617"/>
    <w:rsid w:val="00B211ED"/>
    <w:rsid w:val="00B511A5"/>
    <w:rsid w:val="00B67F9E"/>
    <w:rsid w:val="00B7651F"/>
    <w:rsid w:val="00B82083"/>
    <w:rsid w:val="00B87F1C"/>
    <w:rsid w:val="00BE1AA3"/>
    <w:rsid w:val="00BE76FF"/>
    <w:rsid w:val="00C42EC1"/>
    <w:rsid w:val="00C56E09"/>
    <w:rsid w:val="00C654B0"/>
    <w:rsid w:val="00C721FD"/>
    <w:rsid w:val="00CB2BC4"/>
    <w:rsid w:val="00CB46CB"/>
    <w:rsid w:val="00CB7470"/>
    <w:rsid w:val="00D17CDA"/>
    <w:rsid w:val="00D26E50"/>
    <w:rsid w:val="00D6759E"/>
    <w:rsid w:val="00DB66B3"/>
    <w:rsid w:val="00DD022C"/>
    <w:rsid w:val="00E16D30"/>
    <w:rsid w:val="00E27F7D"/>
    <w:rsid w:val="00E33169"/>
    <w:rsid w:val="00E55A27"/>
    <w:rsid w:val="00E66898"/>
    <w:rsid w:val="00E70904"/>
    <w:rsid w:val="00E97012"/>
    <w:rsid w:val="00EE1EFB"/>
    <w:rsid w:val="00EF44B1"/>
    <w:rsid w:val="00F271AC"/>
    <w:rsid w:val="00F35AA0"/>
    <w:rsid w:val="00FA3264"/>
    <w:rsid w:val="00FB2DCC"/>
    <w:rsid w:val="00FD46E9"/>
    <w:rsid w:val="00FF2C61"/>
    <w:rsid w:val="024B0C39"/>
    <w:rsid w:val="06CD4C74"/>
    <w:rsid w:val="07910517"/>
    <w:rsid w:val="08381779"/>
    <w:rsid w:val="089608E6"/>
    <w:rsid w:val="114F08DB"/>
    <w:rsid w:val="1252010C"/>
    <w:rsid w:val="170C74B4"/>
    <w:rsid w:val="1D0D53C2"/>
    <w:rsid w:val="22985D4C"/>
    <w:rsid w:val="24192CCC"/>
    <w:rsid w:val="3CD52CE1"/>
    <w:rsid w:val="3D3C55B6"/>
    <w:rsid w:val="3F7F0DF6"/>
    <w:rsid w:val="41736F2E"/>
    <w:rsid w:val="46466929"/>
    <w:rsid w:val="4C653F3E"/>
    <w:rsid w:val="51EF7509"/>
    <w:rsid w:val="54875D3D"/>
    <w:rsid w:val="5EA93E10"/>
    <w:rsid w:val="5F570422"/>
    <w:rsid w:val="63747069"/>
    <w:rsid w:val="66BA4938"/>
    <w:rsid w:val="6EC86481"/>
    <w:rsid w:val="6F5042C2"/>
    <w:rsid w:val="73115A98"/>
    <w:rsid w:val="77055D7C"/>
    <w:rsid w:val="773E764D"/>
    <w:rsid w:val="796D0776"/>
    <w:rsid w:val="7BCB61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semiHidden/>
    <w:qFormat/>
    <w:uiPriority w:val="99"/>
    <w:rPr>
      <w:sz w:val="18"/>
      <w:szCs w:val="18"/>
    </w:rPr>
  </w:style>
  <w:style w:type="character" w:customStyle="1" w:styleId="12">
    <w:name w:val="批注框文本 字符"/>
    <w:basedOn w:val="9"/>
    <w:link w:val="4"/>
    <w:semiHidden/>
    <w:uiPriority w:val="99"/>
    <w:rPr>
      <w:rFonts w:ascii="Calibri" w:hAnsi="Calibri"/>
      <w:kern w:val="2"/>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Pages>
  <Words>1739</Words>
  <Characters>2027</Characters>
  <Lines>15</Lines>
  <Paragraphs>4</Paragraphs>
  <TotalTime>225</TotalTime>
  <ScaleCrop>false</ScaleCrop>
  <LinksUpToDate>false</LinksUpToDate>
  <CharactersWithSpaces>2077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GENCH</cp:lastModifiedBy>
  <cp:lastPrinted>2021-12-09T08:03:00Z</cp:lastPrinted>
  <dcterms:modified xsi:type="dcterms:W3CDTF">2023-09-18T01:21:43Z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5AE994F530484AF2851521F6FF53526F</vt:lpwstr>
  </property>
</Properties>
</file>