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B4735F">
      <w:pPr>
        <w:snapToGrid w:val="0"/>
        <w:jc w:val="center"/>
        <w:rPr>
          <w:sz w:val="6"/>
          <w:szCs w:val="6"/>
        </w:rPr>
      </w:pPr>
    </w:p>
    <w:p w14:paraId="19BAADB3">
      <w:pPr>
        <w:snapToGrid w:val="0"/>
        <w:jc w:val="center"/>
        <w:rPr>
          <w:sz w:val="6"/>
          <w:szCs w:val="6"/>
        </w:rPr>
      </w:pPr>
    </w:p>
    <w:p w14:paraId="29A6699F">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14:paraId="702EB813">
      <w:pPr>
        <w:snapToGrid w:val="0"/>
        <w:spacing w:after="180" w:afterLines="50"/>
        <w:jc w:val="center"/>
        <w:rPr>
          <w:rFonts w:ascii="仿宋" w:hAnsi="仿宋" w:eastAsia="仿宋"/>
          <w:sz w:val="28"/>
          <w:szCs w:val="28"/>
        </w:rPr>
      </w:pPr>
    </w:p>
    <w:p w14:paraId="4B589D66">
      <w:pPr>
        <w:snapToGrid w:val="0"/>
        <w:spacing w:before="180" w:beforeLines="50" w:after="180" w:afterLines="50"/>
        <w:jc w:val="both"/>
        <w:rPr>
          <w:rFonts w:ascii="仿宋" w:hAnsi="仿宋" w:eastAsia="仿宋"/>
          <w:b/>
          <w:color w:val="000000"/>
          <w:sz w:val="28"/>
          <w:szCs w:val="28"/>
          <w:lang w:eastAsia="zh-CN"/>
        </w:rPr>
      </w:pPr>
      <w:r>
        <w:rPr>
          <w:rFonts w:ascii="仿宋" w:hAnsi="仿宋" w:eastAsia="仿宋"/>
          <w:b/>
          <w:color w:val="000000"/>
          <w:sz w:val="28"/>
          <w:szCs w:val="28"/>
          <w:lang w:eastAsia="zh-CN"/>
        </w:rPr>
        <w:t>一</w:t>
      </w:r>
      <w:r>
        <w:rPr>
          <w:rFonts w:hint="eastAsia" w:ascii="仿宋" w:hAnsi="仿宋" w:eastAsia="仿宋"/>
          <w:b/>
          <w:color w:val="000000"/>
          <w:sz w:val="28"/>
          <w:szCs w:val="28"/>
          <w:lang w:eastAsia="zh-CN"/>
        </w:rPr>
        <w:t>、</w:t>
      </w:r>
      <w:r>
        <w:rPr>
          <w:rFonts w:ascii="仿宋" w:hAnsi="仿宋" w:eastAsia="仿宋"/>
          <w:b/>
          <w:color w:val="000000"/>
          <w:sz w:val="28"/>
          <w:szCs w:val="28"/>
          <w:lang w:eastAsia="zh-CN"/>
        </w:rPr>
        <w:t>基本信息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14:paraId="1AD3029C">
        <w:trPr>
          <w:trHeight w:val="571" w:hRule="atLeast"/>
        </w:trPr>
        <w:tc>
          <w:tcPr>
            <w:tcW w:w="1418" w:type="dxa"/>
            <w:vAlign w:val="center"/>
          </w:tcPr>
          <w:p w14:paraId="219B2C7F">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课程代码</w:t>
            </w:r>
          </w:p>
        </w:tc>
        <w:tc>
          <w:tcPr>
            <w:tcW w:w="2268" w:type="dxa"/>
            <w:vAlign w:val="center"/>
          </w:tcPr>
          <w:p w14:paraId="5906C0D4">
            <w:pPr>
              <w:tabs>
                <w:tab w:val="left" w:pos="532"/>
              </w:tabs>
              <w:spacing w:line="340" w:lineRule="exact"/>
              <w:jc w:val="center"/>
              <w:rPr>
                <w:rFonts w:ascii="宋体" w:hAnsi="宋体" w:eastAsia="宋体"/>
                <w:sz w:val="21"/>
                <w:szCs w:val="21"/>
                <w:lang w:eastAsia="zh-CN"/>
              </w:rPr>
            </w:pPr>
            <w:r>
              <w:rPr>
                <w:color w:val="000000"/>
                <w:sz w:val="20"/>
                <w:szCs w:val="20"/>
              </w:rPr>
              <w:t>2130018</w:t>
            </w:r>
          </w:p>
        </w:tc>
        <w:tc>
          <w:tcPr>
            <w:tcW w:w="1134" w:type="dxa"/>
            <w:vAlign w:val="center"/>
          </w:tcPr>
          <w:p w14:paraId="732063CC">
            <w:pPr>
              <w:tabs>
                <w:tab w:val="left" w:pos="532"/>
              </w:tabs>
              <w:spacing w:line="340" w:lineRule="exact"/>
              <w:jc w:val="center"/>
              <w:rPr>
                <w:rFonts w:ascii="黑体" w:hAnsi="黑体" w:eastAsia="黑体"/>
                <w:sz w:val="21"/>
                <w:szCs w:val="21"/>
                <w:lang w:eastAsia="zh-CN"/>
              </w:rPr>
            </w:pPr>
            <w:r>
              <w:rPr>
                <w:rFonts w:ascii="黑体" w:hAnsi="黑体" w:eastAsia="黑体"/>
                <w:kern w:val="0"/>
                <w:sz w:val="21"/>
                <w:szCs w:val="21"/>
              </w:rPr>
              <w:t>课程名称</w:t>
            </w:r>
          </w:p>
        </w:tc>
        <w:tc>
          <w:tcPr>
            <w:tcW w:w="3969" w:type="dxa"/>
            <w:vAlign w:val="center"/>
          </w:tcPr>
          <w:p w14:paraId="3CA180B2">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幼儿园游戏</w:t>
            </w:r>
          </w:p>
        </w:tc>
      </w:tr>
      <w:tr w14:paraId="23681F5F">
        <w:trPr>
          <w:trHeight w:val="571" w:hRule="atLeast"/>
        </w:trPr>
        <w:tc>
          <w:tcPr>
            <w:tcW w:w="1418" w:type="dxa"/>
            <w:vAlign w:val="center"/>
          </w:tcPr>
          <w:p w14:paraId="2C17DB43">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14:paraId="2A4362D9">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2</w:t>
            </w:r>
          </w:p>
        </w:tc>
        <w:tc>
          <w:tcPr>
            <w:tcW w:w="1134" w:type="dxa"/>
            <w:vAlign w:val="center"/>
          </w:tcPr>
          <w:p w14:paraId="7633D993">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14:paraId="3E2EC5D4">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3</w:t>
            </w:r>
            <w:r>
              <w:rPr>
                <w:rFonts w:ascii="宋体" w:hAnsi="宋体" w:eastAsia="宋体"/>
                <w:sz w:val="21"/>
                <w:szCs w:val="21"/>
                <w:lang w:eastAsia="zh-CN"/>
              </w:rPr>
              <w:t>2</w:t>
            </w:r>
          </w:p>
        </w:tc>
      </w:tr>
      <w:tr w14:paraId="0034013B">
        <w:trPr>
          <w:trHeight w:val="571" w:hRule="atLeast"/>
        </w:trPr>
        <w:tc>
          <w:tcPr>
            <w:tcW w:w="1418" w:type="dxa"/>
            <w:vAlign w:val="center"/>
          </w:tcPr>
          <w:p w14:paraId="6C8852AE">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14:paraId="44D8CEE1">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周桂勋</w:t>
            </w:r>
          </w:p>
        </w:tc>
        <w:tc>
          <w:tcPr>
            <w:tcW w:w="1134" w:type="dxa"/>
            <w:vAlign w:val="center"/>
          </w:tcPr>
          <w:p w14:paraId="4C855658">
            <w:pPr>
              <w:tabs>
                <w:tab w:val="left" w:pos="532"/>
              </w:tabs>
              <w:spacing w:line="340" w:lineRule="exact"/>
              <w:jc w:val="center"/>
              <w:rPr>
                <w:rFonts w:ascii="黑体" w:hAnsi="黑体" w:eastAsia="黑体"/>
                <w:kern w:val="0"/>
                <w:sz w:val="21"/>
                <w:szCs w:val="21"/>
              </w:rPr>
            </w:pPr>
            <w:r>
              <w:rPr>
                <w:rFonts w:ascii="黑体" w:hAnsi="黑体" w:eastAsia="黑体"/>
                <w:kern w:val="0"/>
                <w:sz w:val="21"/>
                <w:szCs w:val="21"/>
              </w:rPr>
              <w:t>教师邮箱</w:t>
            </w:r>
          </w:p>
        </w:tc>
        <w:tc>
          <w:tcPr>
            <w:tcW w:w="3969" w:type="dxa"/>
            <w:vAlign w:val="center"/>
          </w:tcPr>
          <w:p w14:paraId="324E482F">
            <w:pPr>
              <w:tabs>
                <w:tab w:val="left" w:pos="532"/>
              </w:tabs>
              <w:spacing w:line="340" w:lineRule="exact"/>
              <w:ind w:firstLine="840" w:firstLineChars="400"/>
              <w:rPr>
                <w:rFonts w:ascii="宋体" w:hAnsi="宋体" w:eastAsia="宋体"/>
                <w:sz w:val="21"/>
                <w:szCs w:val="21"/>
                <w:lang w:eastAsia="zh-CN"/>
              </w:rPr>
            </w:pPr>
            <w:r>
              <w:rPr>
                <w:rFonts w:hint="eastAsia" w:ascii="宋体" w:hAnsi="宋体" w:eastAsia="宋体"/>
                <w:sz w:val="21"/>
                <w:szCs w:val="21"/>
                <w:lang w:eastAsia="zh-CN"/>
              </w:rPr>
              <w:t>2</w:t>
            </w:r>
            <w:r>
              <w:rPr>
                <w:rFonts w:ascii="宋体" w:hAnsi="宋体" w:eastAsia="宋体"/>
                <w:sz w:val="21"/>
                <w:szCs w:val="21"/>
                <w:lang w:eastAsia="zh-CN"/>
              </w:rPr>
              <w:t>813571193@qq.com</w:t>
            </w:r>
          </w:p>
        </w:tc>
      </w:tr>
      <w:tr w14:paraId="0E92673E">
        <w:trPr>
          <w:trHeight w:val="571" w:hRule="atLeast"/>
        </w:trPr>
        <w:tc>
          <w:tcPr>
            <w:tcW w:w="1418" w:type="dxa"/>
            <w:vAlign w:val="center"/>
          </w:tcPr>
          <w:p w14:paraId="661FD2DA">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14:paraId="6DE8EBA8">
            <w:pPr>
              <w:tabs>
                <w:tab w:val="left" w:pos="532"/>
              </w:tabs>
              <w:spacing w:line="340" w:lineRule="exact"/>
              <w:rPr>
                <w:rFonts w:asciiTheme="majorEastAsia" w:hAnsiTheme="majorEastAsia" w:eastAsiaTheme="majorEastAsia"/>
                <w:color w:val="000000"/>
                <w:sz w:val="20"/>
                <w:szCs w:val="20"/>
                <w:lang w:eastAsia="zh-CN"/>
              </w:rPr>
            </w:pPr>
            <w:r>
              <w:rPr>
                <w:rFonts w:hint="eastAsia" w:asciiTheme="majorEastAsia" w:hAnsiTheme="majorEastAsia" w:eastAsiaTheme="majorEastAsia"/>
                <w:color w:val="000000"/>
                <w:sz w:val="20"/>
                <w:szCs w:val="20"/>
                <w:lang w:eastAsia="zh-CN"/>
              </w:rPr>
              <w:t>学前教育B</w:t>
            </w:r>
            <w:r>
              <w:rPr>
                <w:rFonts w:asciiTheme="majorEastAsia" w:hAnsiTheme="majorEastAsia" w:eastAsiaTheme="majorEastAsia"/>
                <w:color w:val="000000"/>
                <w:sz w:val="20"/>
                <w:szCs w:val="20"/>
                <w:lang w:eastAsia="zh-CN"/>
              </w:rPr>
              <w:t>20-1</w:t>
            </w:r>
            <w:r>
              <w:rPr>
                <w:rFonts w:hint="eastAsia" w:asciiTheme="majorEastAsia" w:hAnsiTheme="majorEastAsia" w:eastAsiaTheme="majorEastAsia"/>
                <w:color w:val="000000"/>
                <w:sz w:val="20"/>
                <w:szCs w:val="20"/>
                <w:lang w:eastAsia="zh-CN"/>
              </w:rPr>
              <w:t>、B</w:t>
            </w:r>
            <w:r>
              <w:rPr>
                <w:rFonts w:asciiTheme="majorEastAsia" w:hAnsiTheme="majorEastAsia" w:eastAsiaTheme="majorEastAsia"/>
                <w:color w:val="000000"/>
                <w:sz w:val="20"/>
                <w:szCs w:val="20"/>
                <w:lang w:eastAsia="zh-CN"/>
              </w:rPr>
              <w:t>20-2</w:t>
            </w:r>
            <w:r>
              <w:rPr>
                <w:rFonts w:hint="eastAsia" w:asciiTheme="majorEastAsia" w:hAnsiTheme="majorEastAsia" w:eastAsiaTheme="majorEastAsia"/>
                <w:color w:val="000000"/>
                <w:sz w:val="20"/>
                <w:szCs w:val="20"/>
                <w:lang w:eastAsia="zh-CN"/>
              </w:rPr>
              <w:t>、B</w:t>
            </w:r>
            <w:r>
              <w:rPr>
                <w:rFonts w:asciiTheme="majorEastAsia" w:hAnsiTheme="majorEastAsia" w:eastAsiaTheme="majorEastAsia"/>
                <w:color w:val="000000"/>
                <w:sz w:val="20"/>
                <w:szCs w:val="20"/>
                <w:lang w:eastAsia="zh-CN"/>
              </w:rPr>
              <w:t>20-3</w:t>
            </w:r>
          </w:p>
        </w:tc>
        <w:tc>
          <w:tcPr>
            <w:tcW w:w="1134" w:type="dxa"/>
            <w:vAlign w:val="center"/>
          </w:tcPr>
          <w:p w14:paraId="1BA57AED">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14:paraId="3669A958">
            <w:pPr>
              <w:tabs>
                <w:tab w:val="left" w:pos="532"/>
              </w:tabs>
              <w:spacing w:line="340" w:lineRule="exact"/>
              <w:rPr>
                <w:rFonts w:ascii="宋体" w:hAnsi="宋体" w:eastAsia="宋体"/>
                <w:sz w:val="21"/>
                <w:szCs w:val="21"/>
                <w:lang w:eastAsia="zh-CN"/>
              </w:rPr>
            </w:pPr>
            <w:r>
              <w:rPr>
                <w:rFonts w:hint="eastAsia" w:ascii="宋体" w:hAnsi="宋体" w:eastAsia="宋体"/>
                <w:sz w:val="21"/>
                <w:szCs w:val="21"/>
                <w:lang w:eastAsia="zh-CN"/>
              </w:rPr>
              <w:t>三教1</w:t>
            </w:r>
            <w:r>
              <w:rPr>
                <w:rFonts w:ascii="宋体" w:hAnsi="宋体" w:eastAsia="宋体"/>
                <w:sz w:val="21"/>
                <w:szCs w:val="21"/>
                <w:lang w:eastAsia="zh-CN"/>
              </w:rPr>
              <w:t>08</w:t>
            </w:r>
            <w:r>
              <w:rPr>
                <w:rFonts w:hint="eastAsia" w:ascii="宋体" w:hAnsi="宋体" w:eastAsia="宋体"/>
                <w:sz w:val="21"/>
                <w:szCs w:val="21"/>
                <w:lang w:eastAsia="zh-CN"/>
              </w:rPr>
              <w:t>、二教</w:t>
            </w:r>
            <w:r>
              <w:rPr>
                <w:rFonts w:ascii="宋体" w:hAnsi="宋体" w:eastAsia="宋体"/>
                <w:sz w:val="21"/>
                <w:szCs w:val="21"/>
                <w:lang w:eastAsia="zh-CN"/>
              </w:rPr>
              <w:t>308</w:t>
            </w:r>
          </w:p>
        </w:tc>
      </w:tr>
      <w:tr w14:paraId="411C792A">
        <w:trPr>
          <w:trHeight w:val="571" w:hRule="atLeast"/>
        </w:trPr>
        <w:tc>
          <w:tcPr>
            <w:tcW w:w="1418" w:type="dxa"/>
            <w:vAlign w:val="center"/>
          </w:tcPr>
          <w:p w14:paraId="218F79EF">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14:paraId="18459972">
            <w:pPr>
              <w:tabs>
                <w:tab w:val="left" w:pos="532"/>
              </w:tabs>
              <w:spacing w:line="340" w:lineRule="exact"/>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周三下午2：</w:t>
            </w:r>
            <w:r>
              <w:rPr>
                <w:rFonts w:asciiTheme="majorEastAsia" w:hAnsiTheme="majorEastAsia" w:eastAsiaTheme="majorEastAsia"/>
                <w:color w:val="000000"/>
                <w:sz w:val="20"/>
                <w:szCs w:val="20"/>
              </w:rPr>
              <w:t>20-3</w:t>
            </w:r>
            <w:r>
              <w:rPr>
                <w:rFonts w:hint="eastAsia" w:asciiTheme="majorEastAsia" w:hAnsiTheme="majorEastAsia" w:eastAsiaTheme="majorEastAsia"/>
                <w:color w:val="000000"/>
                <w:sz w:val="20"/>
                <w:szCs w:val="20"/>
              </w:rPr>
              <w:t>：0</w:t>
            </w:r>
            <w:r>
              <w:rPr>
                <w:rFonts w:asciiTheme="majorEastAsia" w:hAnsiTheme="majorEastAsia" w:eastAsiaTheme="majorEastAsia"/>
                <w:color w:val="000000"/>
                <w:sz w:val="20"/>
                <w:szCs w:val="20"/>
              </w:rPr>
              <w:t>0</w:t>
            </w:r>
          </w:p>
        </w:tc>
      </w:tr>
      <w:tr w14:paraId="08833AF0">
        <w:trPr>
          <w:trHeight w:val="571" w:hRule="atLeast"/>
        </w:trPr>
        <w:tc>
          <w:tcPr>
            <w:tcW w:w="1418" w:type="dxa"/>
            <w:vAlign w:val="center"/>
          </w:tcPr>
          <w:p w14:paraId="7C61166C">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14:paraId="33A62918">
            <w:pPr>
              <w:tabs>
                <w:tab w:val="left" w:pos="532"/>
              </w:tabs>
              <w:spacing w:line="340" w:lineRule="exact"/>
              <w:rPr>
                <w:rFonts w:asciiTheme="majorEastAsia" w:hAnsiTheme="majorEastAsia" w:eastAsiaTheme="majorEastAsia"/>
                <w:kern w:val="0"/>
                <w:sz w:val="21"/>
                <w:szCs w:val="21"/>
                <w:lang w:eastAsia="zh-CN"/>
              </w:rPr>
            </w:pPr>
            <w:r>
              <w:rPr>
                <w:rFonts w:hint="eastAsia" w:asciiTheme="majorEastAsia" w:hAnsiTheme="majorEastAsia" w:eastAsiaTheme="majorEastAsia"/>
                <w:kern w:val="0"/>
                <w:sz w:val="21"/>
                <w:szCs w:val="21"/>
                <w:lang w:eastAsia="zh-CN"/>
              </w:rPr>
              <w:t>幼儿园游戏组织与指导，周桂勋，上海交通大学出版社</w:t>
            </w:r>
          </w:p>
        </w:tc>
      </w:tr>
      <w:tr w14:paraId="1022FBF1">
        <w:trPr>
          <w:trHeight w:val="571" w:hRule="atLeast"/>
        </w:trPr>
        <w:tc>
          <w:tcPr>
            <w:tcW w:w="1418" w:type="dxa"/>
            <w:vAlign w:val="center"/>
          </w:tcPr>
          <w:p w14:paraId="2D78CC06">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参考资料</w:t>
            </w:r>
          </w:p>
        </w:tc>
        <w:tc>
          <w:tcPr>
            <w:tcW w:w="7371" w:type="dxa"/>
            <w:gridSpan w:val="3"/>
            <w:vAlign w:val="center"/>
          </w:tcPr>
          <w:p w14:paraId="1DFDFBAF">
            <w:pPr>
              <w:tabs>
                <w:tab w:val="left" w:pos="532"/>
              </w:tabs>
              <w:spacing w:line="340" w:lineRule="exact"/>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w:t>
            </w:r>
            <w:r>
              <w:rPr>
                <w:rFonts w:asciiTheme="majorEastAsia" w:hAnsiTheme="majorEastAsia" w:eastAsiaTheme="majorEastAsia"/>
                <w:color w:val="000000"/>
                <w:sz w:val="20"/>
                <w:szCs w:val="20"/>
              </w:rPr>
              <w:t>幼儿园游戏组织与指导</w:t>
            </w:r>
            <w:r>
              <w:rPr>
                <w:rFonts w:hint="eastAsia" w:asciiTheme="majorEastAsia" w:hAnsiTheme="majorEastAsia" w:eastAsiaTheme="majorEastAsia"/>
                <w:color w:val="000000"/>
                <w:sz w:val="20"/>
                <w:szCs w:val="20"/>
              </w:rPr>
              <w:t>，丁海东，</w:t>
            </w:r>
            <w:r>
              <w:rPr>
                <w:rFonts w:asciiTheme="majorEastAsia" w:hAnsiTheme="majorEastAsia" w:eastAsiaTheme="majorEastAsia"/>
                <w:color w:val="000000"/>
                <w:sz w:val="20"/>
                <w:szCs w:val="20"/>
              </w:rPr>
              <w:t>湖南大学出版社</w:t>
            </w:r>
            <w:r>
              <w:rPr>
                <w:rFonts w:hint="eastAsia" w:asciiTheme="majorEastAsia" w:hAnsiTheme="majorEastAsia" w:eastAsiaTheme="majorEastAsia"/>
                <w:color w:val="000000"/>
                <w:sz w:val="20"/>
                <w:szCs w:val="20"/>
              </w:rPr>
              <w:t>】</w:t>
            </w:r>
          </w:p>
          <w:p w14:paraId="33AD2724">
            <w:pPr>
              <w:tabs>
                <w:tab w:val="left" w:pos="532"/>
              </w:tabs>
              <w:spacing w:line="340" w:lineRule="exact"/>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【学前游戏论，邱学青，南京师范大学出版社】</w:t>
            </w:r>
          </w:p>
          <w:p w14:paraId="14C35D42">
            <w:pPr>
              <w:tabs>
                <w:tab w:val="left" w:pos="532"/>
              </w:tabs>
              <w:spacing w:line="340" w:lineRule="exact"/>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【幼儿游戏理论，华爱华，上海教育</w:t>
            </w:r>
            <w:r>
              <w:rPr>
                <w:rFonts w:asciiTheme="majorEastAsia" w:hAnsiTheme="majorEastAsia" w:eastAsiaTheme="majorEastAsia"/>
                <w:color w:val="000000"/>
                <w:sz w:val="20"/>
                <w:szCs w:val="20"/>
              </w:rPr>
              <w:t>出版社</w:t>
            </w:r>
            <w:r>
              <w:rPr>
                <w:rFonts w:hint="eastAsia" w:asciiTheme="majorEastAsia" w:hAnsiTheme="majorEastAsia" w:eastAsiaTheme="majorEastAsia"/>
                <w:color w:val="000000"/>
                <w:sz w:val="20"/>
                <w:szCs w:val="20"/>
              </w:rPr>
              <w:t>】</w:t>
            </w:r>
          </w:p>
          <w:p w14:paraId="25DD63E7">
            <w:pPr>
              <w:tabs>
                <w:tab w:val="left" w:pos="532"/>
              </w:tabs>
              <w:spacing w:line="340" w:lineRule="exact"/>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【儿童游戏论，曹中平，宁夏人民出版社】</w:t>
            </w:r>
          </w:p>
          <w:p w14:paraId="0E37DCEC">
            <w:pPr>
              <w:tabs>
                <w:tab w:val="left" w:pos="532"/>
              </w:tabs>
              <w:spacing w:line="340" w:lineRule="exact"/>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【以游戏为中心的幼儿园课程，</w:t>
            </w:r>
            <w:r>
              <w:rPr>
                <w:rFonts w:asciiTheme="majorEastAsia" w:hAnsiTheme="majorEastAsia" w:eastAsiaTheme="majorEastAsia"/>
                <w:color w:val="000000"/>
                <w:sz w:val="20"/>
                <w:szCs w:val="20"/>
              </w:rPr>
              <w:t>朱迪斯·范霍恩(Judith Van Hoorn),帕特里夏·莫尼根·努罗塔(Patricia Monighan Nourot)</w:t>
            </w:r>
            <w:r>
              <w:rPr>
                <w:rFonts w:hint="eastAsia" w:asciiTheme="majorEastAsia" w:hAnsiTheme="majorEastAsia" w:eastAsiaTheme="majorEastAsia"/>
                <w:color w:val="000000"/>
                <w:sz w:val="20"/>
                <w:szCs w:val="20"/>
              </w:rPr>
              <w:t>，中国轻工业出版社】</w:t>
            </w:r>
          </w:p>
        </w:tc>
      </w:tr>
    </w:tbl>
    <w:p w14:paraId="2927F47D">
      <w:pPr>
        <w:snapToGrid w:val="0"/>
        <w:spacing w:line="340" w:lineRule="exact"/>
        <w:rPr>
          <w:rFonts w:ascii="Calibri" w:hAnsi="Calibri" w:eastAsia="宋体"/>
          <w:b/>
          <w:color w:val="000000"/>
          <w:szCs w:val="20"/>
          <w:lang w:eastAsia="zh-CN"/>
        </w:rPr>
      </w:pPr>
    </w:p>
    <w:p w14:paraId="7CDB3221">
      <w:pPr>
        <w:snapToGrid w:val="0"/>
        <w:spacing w:before="180" w:beforeLines="5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二、课程教学进度</w:t>
      </w:r>
    </w:p>
    <w:tbl>
      <w:tblPr>
        <w:tblStyle w:val="4"/>
        <w:tblW w:w="8789" w:type="dxa"/>
        <w:tblInd w:w="108" w:type="dxa"/>
        <w:tblLayout w:type="fixed"/>
        <w:tblCellMar>
          <w:top w:w="0" w:type="dxa"/>
          <w:left w:w="0" w:type="dxa"/>
          <w:bottom w:w="0" w:type="dxa"/>
          <w:right w:w="0" w:type="dxa"/>
        </w:tblCellMar>
      </w:tblPr>
      <w:tblGrid>
        <w:gridCol w:w="659"/>
        <w:gridCol w:w="3877"/>
        <w:gridCol w:w="1276"/>
        <w:gridCol w:w="2977"/>
      </w:tblGrid>
      <w:tr w14:paraId="435C5884">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01F0A36">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周次</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1D77496">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A07677">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3ED582D">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14:paraId="15D370B4">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8BC9EB2">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1</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720EBFB">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本课程导论</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1509C371">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329B95ED">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请思考你童年中都玩过哪些游戏？</w:t>
            </w:r>
          </w:p>
        </w:tc>
      </w:tr>
      <w:tr w14:paraId="4CE17B02">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B97676E">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2</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533F319">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一、幼儿游戏概述</w:t>
            </w:r>
          </w:p>
          <w:p w14:paraId="7A138A01">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1</w:t>
            </w:r>
            <w:r>
              <w:rPr>
                <w:rFonts w:ascii="宋体" w:hAnsi="宋体" w:eastAsia="宋体" w:cs="Arial"/>
                <w:kern w:val="0"/>
                <w:sz w:val="18"/>
                <w:szCs w:val="18"/>
                <w:lang w:eastAsia="zh-CN"/>
              </w:rPr>
              <w:t>.</w:t>
            </w:r>
            <w:r>
              <w:rPr>
                <w:rFonts w:hint="eastAsia" w:ascii="宋体" w:hAnsi="宋体" w:eastAsia="宋体" w:cs="Arial"/>
                <w:kern w:val="0"/>
                <w:sz w:val="18"/>
                <w:szCs w:val="18"/>
                <w:lang w:eastAsia="zh-CN"/>
              </w:rPr>
              <w:t>游戏的多重含义</w:t>
            </w:r>
          </w:p>
          <w:p w14:paraId="2A67D016">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2</w:t>
            </w:r>
            <w:r>
              <w:rPr>
                <w:rFonts w:ascii="宋体" w:hAnsi="宋体" w:eastAsia="宋体" w:cs="Arial"/>
                <w:kern w:val="0"/>
                <w:sz w:val="18"/>
                <w:szCs w:val="18"/>
                <w:lang w:eastAsia="zh-CN"/>
              </w:rPr>
              <w:t>.</w:t>
            </w:r>
            <w:r>
              <w:rPr>
                <w:rFonts w:hint="eastAsia" w:ascii="宋体" w:hAnsi="宋体" w:eastAsia="宋体" w:cs="Arial"/>
                <w:kern w:val="0"/>
                <w:sz w:val="18"/>
                <w:szCs w:val="18"/>
                <w:lang w:eastAsia="zh-CN"/>
              </w:rPr>
              <w:t>幼儿游戏的特征</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6BA6AFD6">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讲授法、讨论法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74B48865">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请理解游戏的特征，并思考你觉得游戏最核心的特征有哪些？</w:t>
            </w:r>
          </w:p>
        </w:tc>
      </w:tr>
      <w:tr w14:paraId="4C7EB23E">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38E05C">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3</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01DB2E3">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一、幼儿游戏概述</w:t>
            </w:r>
          </w:p>
          <w:p w14:paraId="7E03DAB9">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3</w:t>
            </w:r>
            <w:r>
              <w:rPr>
                <w:rFonts w:ascii="宋体" w:hAnsi="宋体" w:eastAsia="宋体" w:cs="Arial"/>
                <w:kern w:val="0"/>
                <w:sz w:val="18"/>
                <w:szCs w:val="18"/>
                <w:lang w:eastAsia="zh-CN"/>
              </w:rPr>
              <w:t>.</w:t>
            </w:r>
            <w:r>
              <w:rPr>
                <w:rFonts w:hint="eastAsia" w:ascii="宋体" w:hAnsi="宋体" w:eastAsia="宋体" w:cs="Arial"/>
                <w:kern w:val="0"/>
                <w:sz w:val="18"/>
                <w:szCs w:val="18"/>
                <w:lang w:eastAsia="zh-CN"/>
              </w:rPr>
              <w:t>游戏的分类</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74EAD8FA">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讲授法、案例分析法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7092D83E">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请理解幼儿园游戏分类的依据。</w:t>
            </w:r>
          </w:p>
        </w:tc>
      </w:tr>
      <w:tr w14:paraId="28E22B27">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388C7C5">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4</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5F505B2">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二、幼儿园课程的目标与内容</w:t>
            </w:r>
          </w:p>
          <w:p w14:paraId="2164A2D7">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1</w:t>
            </w:r>
            <w:r>
              <w:rPr>
                <w:rFonts w:ascii="宋体" w:hAnsi="宋体" w:eastAsia="宋体" w:cs="Arial"/>
                <w:kern w:val="0"/>
                <w:sz w:val="18"/>
                <w:szCs w:val="18"/>
                <w:lang w:eastAsia="zh-CN"/>
              </w:rPr>
              <w:t>.</w:t>
            </w:r>
            <w:r>
              <w:rPr>
                <w:rFonts w:hint="eastAsia" w:ascii="宋体" w:hAnsi="宋体" w:eastAsia="宋体" w:cs="Arial"/>
                <w:kern w:val="0"/>
                <w:sz w:val="18"/>
                <w:szCs w:val="18"/>
                <w:lang w:eastAsia="zh-CN"/>
              </w:rPr>
              <w:t>幼儿游戏理论</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2CC7D684">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讲授法、讨论法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097D5994">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请思考，你认为各种经典的游戏理论之间是相互冲突的吗？</w:t>
            </w:r>
          </w:p>
        </w:tc>
      </w:tr>
      <w:tr w14:paraId="17A30641">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79E4D57">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5</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06DD82C">
            <w:pPr>
              <w:widowControl/>
              <w:rPr>
                <w:rFonts w:ascii="宋体" w:hAnsi="宋体" w:eastAsia="宋体" w:cs="Arial"/>
                <w:kern w:val="0"/>
                <w:sz w:val="18"/>
                <w:szCs w:val="18"/>
                <w:lang w:eastAsia="zh-CN"/>
              </w:rPr>
            </w:pPr>
            <w:r>
              <w:rPr>
                <w:rFonts w:ascii="宋体" w:hAnsi="宋体" w:eastAsia="宋体" w:cs="Arial"/>
                <w:kern w:val="0"/>
                <w:sz w:val="18"/>
                <w:szCs w:val="18"/>
                <w:lang w:eastAsia="zh-CN"/>
              </w:rPr>
              <w:t>二、</w:t>
            </w:r>
            <w:r>
              <w:rPr>
                <w:rFonts w:hint="eastAsia" w:ascii="宋体" w:hAnsi="宋体" w:eastAsia="宋体" w:cs="Arial"/>
                <w:kern w:val="0"/>
                <w:sz w:val="18"/>
                <w:szCs w:val="18"/>
                <w:lang w:eastAsia="zh-CN"/>
              </w:rPr>
              <w:t>幼儿园课程的目标与内容</w:t>
            </w:r>
          </w:p>
          <w:p w14:paraId="5E441E3B">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2</w:t>
            </w:r>
            <w:r>
              <w:rPr>
                <w:rFonts w:ascii="宋体" w:hAnsi="宋体" w:eastAsia="宋体" w:cs="Arial"/>
                <w:kern w:val="0"/>
                <w:sz w:val="18"/>
                <w:szCs w:val="18"/>
                <w:lang w:eastAsia="zh-CN"/>
              </w:rPr>
              <w:t>.</w:t>
            </w:r>
            <w:r>
              <w:rPr>
                <w:rFonts w:hint="eastAsia" w:ascii="宋体" w:hAnsi="宋体" w:eastAsia="宋体" w:cs="Arial"/>
                <w:kern w:val="0"/>
                <w:sz w:val="18"/>
                <w:szCs w:val="18"/>
                <w:lang w:eastAsia="zh-CN"/>
              </w:rPr>
              <w:t>游戏与幼儿园教育</w:t>
            </w:r>
          </w:p>
          <w:p w14:paraId="5F09B1BC">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3</w:t>
            </w:r>
            <w:r>
              <w:rPr>
                <w:rFonts w:ascii="宋体" w:hAnsi="宋体" w:eastAsia="宋体" w:cs="Arial"/>
                <w:kern w:val="0"/>
                <w:sz w:val="18"/>
                <w:szCs w:val="18"/>
                <w:lang w:eastAsia="zh-CN"/>
              </w:rPr>
              <w:t>.</w:t>
            </w:r>
            <w:r>
              <w:rPr>
                <w:rFonts w:hint="eastAsia" w:ascii="宋体" w:hAnsi="宋体" w:eastAsia="宋体" w:cs="Arial"/>
                <w:kern w:val="0"/>
                <w:sz w:val="18"/>
                <w:szCs w:val="18"/>
                <w:lang w:eastAsia="zh-CN"/>
              </w:rPr>
              <w:t>游戏与幼儿园课程</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11F45CCE">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讲授法、讨论法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669906B4">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请思考，幼儿园游戏与课程的关系。</w:t>
            </w:r>
          </w:p>
        </w:tc>
      </w:tr>
      <w:tr w14:paraId="3808EF5C">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4339D70">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6</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E81A000">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三、游戏安排、常规与组织形式</w:t>
            </w:r>
          </w:p>
          <w:p w14:paraId="605D9023">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1</w:t>
            </w:r>
            <w:r>
              <w:rPr>
                <w:rFonts w:ascii="宋体" w:hAnsi="宋体" w:eastAsia="宋体" w:cs="Arial"/>
                <w:kern w:val="0"/>
                <w:sz w:val="18"/>
                <w:szCs w:val="18"/>
                <w:lang w:eastAsia="zh-CN"/>
              </w:rPr>
              <w:t>.</w:t>
            </w:r>
            <w:r>
              <w:rPr>
                <w:rFonts w:hint="eastAsia" w:ascii="宋体" w:hAnsi="宋体" w:eastAsia="宋体" w:cs="Arial"/>
                <w:kern w:val="0"/>
                <w:sz w:val="18"/>
                <w:szCs w:val="18"/>
                <w:lang w:eastAsia="zh-CN"/>
              </w:rPr>
              <w:t>游戏材料与场地</w:t>
            </w:r>
          </w:p>
          <w:p w14:paraId="2B2BC9E0">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2</w:t>
            </w:r>
            <w:r>
              <w:rPr>
                <w:rFonts w:ascii="宋体" w:hAnsi="宋体" w:eastAsia="宋体" w:cs="Arial"/>
                <w:kern w:val="0"/>
                <w:sz w:val="18"/>
                <w:szCs w:val="18"/>
                <w:lang w:eastAsia="zh-CN"/>
              </w:rPr>
              <w:t>.</w:t>
            </w:r>
            <w:r>
              <w:rPr>
                <w:rFonts w:hint="eastAsia" w:ascii="宋体" w:hAnsi="宋体" w:eastAsia="宋体" w:cs="Arial"/>
                <w:kern w:val="0"/>
                <w:sz w:val="18"/>
                <w:szCs w:val="18"/>
                <w:lang w:eastAsia="zh-CN"/>
              </w:rPr>
              <w:t>游戏的时间安排</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49EC5756">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讲授法、讨论法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0ADF6A98">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请思考高结构游戏材料和低结构游戏材料对幼儿发展的作用有怎样的差异。</w:t>
            </w:r>
          </w:p>
        </w:tc>
      </w:tr>
      <w:tr w14:paraId="73221872">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9D3615B">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7</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417DE03">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三、游戏安排、常规与组织形式</w:t>
            </w:r>
          </w:p>
          <w:p w14:paraId="7144BEDC">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3</w:t>
            </w:r>
            <w:r>
              <w:rPr>
                <w:rFonts w:ascii="宋体" w:hAnsi="宋体" w:eastAsia="宋体" w:cs="Arial"/>
                <w:kern w:val="0"/>
                <w:sz w:val="18"/>
                <w:szCs w:val="18"/>
                <w:lang w:eastAsia="zh-CN"/>
              </w:rPr>
              <w:t>.</w:t>
            </w:r>
            <w:r>
              <w:rPr>
                <w:rFonts w:hint="eastAsia" w:ascii="宋体" w:hAnsi="宋体" w:eastAsia="宋体" w:cs="Arial"/>
                <w:kern w:val="0"/>
                <w:sz w:val="18"/>
                <w:szCs w:val="18"/>
                <w:lang w:eastAsia="zh-CN"/>
              </w:rPr>
              <w:t>游戏常规</w:t>
            </w:r>
          </w:p>
          <w:p w14:paraId="4D4ABE18">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4</w:t>
            </w:r>
            <w:r>
              <w:rPr>
                <w:rFonts w:ascii="宋体" w:hAnsi="宋体" w:eastAsia="宋体" w:cs="Arial"/>
                <w:kern w:val="0"/>
                <w:sz w:val="18"/>
                <w:szCs w:val="18"/>
                <w:lang w:eastAsia="zh-CN"/>
              </w:rPr>
              <w:t>.</w:t>
            </w:r>
            <w:r>
              <w:rPr>
                <w:rFonts w:hint="eastAsia" w:ascii="宋体" w:hAnsi="宋体" w:eastAsia="宋体" w:cs="Arial"/>
                <w:kern w:val="0"/>
                <w:sz w:val="18"/>
                <w:szCs w:val="18"/>
                <w:lang w:eastAsia="zh-CN"/>
              </w:rPr>
              <w:t>游戏的组织形式</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476B76FC">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讲授法、讨论法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00C07A57">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请思考，游戏常规对幼儿发展的教育价值。</w:t>
            </w:r>
          </w:p>
        </w:tc>
      </w:tr>
      <w:tr w14:paraId="53A6FC12">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E10BA22">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8</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29DB0F2">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四、游戏的观察、记录与评价</w:t>
            </w:r>
          </w:p>
          <w:p w14:paraId="712EDBCC">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1</w:t>
            </w:r>
            <w:r>
              <w:rPr>
                <w:rFonts w:ascii="Calibri" w:hAnsi="Calibri" w:eastAsia="宋体"/>
                <w:color w:val="000000"/>
                <w:sz w:val="20"/>
                <w:szCs w:val="20"/>
                <w:lang w:eastAsia="zh-CN"/>
              </w:rPr>
              <w:t>.</w:t>
            </w:r>
            <w:r>
              <w:rPr>
                <w:rFonts w:hint="eastAsia" w:ascii="Calibri" w:hAnsi="Calibri" w:eastAsia="宋体"/>
                <w:color w:val="000000"/>
                <w:sz w:val="20"/>
                <w:szCs w:val="20"/>
                <w:lang w:eastAsia="zh-CN"/>
              </w:rPr>
              <w:t>游戏观察的作用与注意事项</w:t>
            </w:r>
          </w:p>
          <w:p w14:paraId="2DB3024B">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2</w:t>
            </w:r>
            <w:r>
              <w:rPr>
                <w:rFonts w:ascii="Calibri" w:hAnsi="Calibri" w:eastAsia="宋体"/>
                <w:color w:val="000000"/>
                <w:sz w:val="20"/>
                <w:szCs w:val="20"/>
                <w:lang w:eastAsia="zh-CN"/>
              </w:rPr>
              <w:t>.</w:t>
            </w:r>
            <w:r>
              <w:rPr>
                <w:rFonts w:hint="eastAsia" w:ascii="Calibri" w:hAnsi="Calibri" w:eastAsia="宋体"/>
                <w:color w:val="000000"/>
                <w:sz w:val="20"/>
                <w:szCs w:val="20"/>
                <w:lang w:eastAsia="zh-CN"/>
              </w:rPr>
              <w:t>游戏观察的主要内容</w:t>
            </w:r>
          </w:p>
          <w:p w14:paraId="62C1A54F">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3</w:t>
            </w:r>
            <w:r>
              <w:rPr>
                <w:rFonts w:ascii="Calibri" w:hAnsi="Calibri" w:eastAsia="宋体"/>
                <w:color w:val="000000"/>
                <w:sz w:val="20"/>
                <w:szCs w:val="20"/>
                <w:lang w:eastAsia="zh-CN"/>
              </w:rPr>
              <w:t>.</w:t>
            </w:r>
            <w:r>
              <w:rPr>
                <w:rFonts w:hint="eastAsia" w:ascii="Calibri" w:hAnsi="Calibri" w:eastAsia="宋体"/>
                <w:color w:val="000000"/>
                <w:sz w:val="20"/>
                <w:szCs w:val="20"/>
                <w:lang w:eastAsia="zh-CN"/>
              </w:rPr>
              <w:t>游戏观察的常用方法</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39EFA463">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讲授法、讨论法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398237E4">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请思考，幼儿游戏观察记录的方法分别有哪些？</w:t>
            </w:r>
          </w:p>
        </w:tc>
      </w:tr>
      <w:tr w14:paraId="10C5AECF">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8211B00">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9</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83B34CC">
            <w:pPr>
              <w:widowControl/>
              <w:rPr>
                <w:rFonts w:ascii="宋体" w:hAnsi="宋体" w:eastAsia="宋体" w:cs="Arial"/>
                <w:kern w:val="0"/>
                <w:sz w:val="18"/>
                <w:szCs w:val="18"/>
                <w:lang w:eastAsia="zh-CN"/>
              </w:rPr>
            </w:pPr>
            <w:r>
              <w:rPr>
                <w:rFonts w:hint="eastAsia" w:ascii="宋体" w:hAnsi="宋体" w:eastAsia="宋体" w:cs="Arial"/>
                <w:kern w:val="0"/>
                <w:sz w:val="18"/>
                <w:szCs w:val="18"/>
                <w:lang w:eastAsia="zh-CN"/>
              </w:rPr>
              <w:t>四、游戏的观察、记录与评价</w:t>
            </w:r>
          </w:p>
          <w:p w14:paraId="3915AE62">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4</w:t>
            </w:r>
            <w:r>
              <w:rPr>
                <w:rFonts w:ascii="Calibri" w:hAnsi="Calibri" w:eastAsia="宋体"/>
                <w:color w:val="000000"/>
                <w:sz w:val="20"/>
                <w:szCs w:val="20"/>
                <w:lang w:eastAsia="zh-CN"/>
              </w:rPr>
              <w:t>.</w:t>
            </w:r>
            <w:r>
              <w:rPr>
                <w:rFonts w:hint="eastAsia" w:ascii="Calibri" w:hAnsi="Calibri" w:eastAsia="宋体"/>
                <w:color w:val="000000"/>
                <w:sz w:val="20"/>
                <w:szCs w:val="20"/>
                <w:lang w:eastAsia="zh-CN"/>
              </w:rPr>
              <w:t>幼儿园游戏活动评价</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FCFC836">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讲授法、讨论法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1407498">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幼儿园游戏活动的评价的维度有哪些？</w:t>
            </w:r>
          </w:p>
        </w:tc>
      </w:tr>
      <w:tr w14:paraId="61B8C8D4">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ACFE889">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w:t>
            </w:r>
            <w:r>
              <w:rPr>
                <w:rFonts w:ascii="宋体" w:hAnsi="宋体" w:eastAsia="宋体"/>
                <w:color w:val="000000"/>
                <w:sz w:val="18"/>
                <w:szCs w:val="18"/>
                <w:lang w:eastAsia="zh-CN"/>
              </w:rPr>
              <w:t>0</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EA0B6E6">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五、游戏的分类指导</w:t>
            </w:r>
          </w:p>
          <w:p w14:paraId="65187F1F">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1</w:t>
            </w:r>
            <w:r>
              <w:rPr>
                <w:rFonts w:ascii="Calibri" w:hAnsi="Calibri" w:eastAsia="宋体"/>
                <w:color w:val="000000"/>
                <w:sz w:val="20"/>
                <w:szCs w:val="20"/>
                <w:lang w:eastAsia="zh-CN"/>
              </w:rPr>
              <w:t>.</w:t>
            </w:r>
            <w:r>
              <w:rPr>
                <w:rFonts w:hint="eastAsia" w:ascii="Calibri" w:hAnsi="Calibri" w:eastAsia="宋体"/>
                <w:color w:val="000000"/>
                <w:sz w:val="20"/>
                <w:szCs w:val="20"/>
                <w:lang w:eastAsia="zh-CN"/>
              </w:rPr>
              <w:t>角色游戏的指导</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77D1C0AB">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讲授法、讨论法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4D95C5A">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请思考，如何对幼儿角色游戏进行指导？</w:t>
            </w:r>
          </w:p>
        </w:tc>
      </w:tr>
      <w:tr w14:paraId="47F09E0D">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8FD4895">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w:t>
            </w:r>
            <w:r>
              <w:rPr>
                <w:rFonts w:ascii="宋体" w:hAnsi="宋体" w:eastAsia="宋体"/>
                <w:color w:val="000000"/>
                <w:sz w:val="18"/>
                <w:szCs w:val="18"/>
                <w:lang w:eastAsia="zh-CN"/>
              </w:rPr>
              <w:t>1</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F955313">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五、游戏的分类指导</w:t>
            </w:r>
          </w:p>
          <w:p w14:paraId="77D62E41">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2</w:t>
            </w:r>
            <w:r>
              <w:rPr>
                <w:rFonts w:ascii="Calibri" w:hAnsi="Calibri" w:eastAsia="宋体"/>
                <w:color w:val="000000"/>
                <w:sz w:val="20"/>
                <w:szCs w:val="20"/>
                <w:lang w:eastAsia="zh-CN"/>
              </w:rPr>
              <w:t>.</w:t>
            </w:r>
            <w:r>
              <w:rPr>
                <w:rFonts w:hint="eastAsia" w:ascii="Calibri" w:hAnsi="Calibri" w:eastAsia="宋体"/>
                <w:color w:val="000000"/>
                <w:sz w:val="20"/>
                <w:szCs w:val="20"/>
                <w:lang w:eastAsia="zh-CN"/>
              </w:rPr>
              <w:t>建构游戏的指导</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6EB9614E">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讲授法、讨论法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8D6EA8A">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请思考，如何对幼儿</w:t>
            </w:r>
            <w:r>
              <w:rPr>
                <w:rFonts w:hint="eastAsia" w:ascii="宋体" w:hAnsi="宋体" w:eastAsia="宋体" w:cs="Arial"/>
                <w:kern w:val="0"/>
                <w:sz w:val="18"/>
                <w:szCs w:val="18"/>
                <w:lang w:eastAsia="zh-CN"/>
              </w:rPr>
              <w:t>建构</w:t>
            </w:r>
            <w:r>
              <w:rPr>
                <w:rFonts w:ascii="宋体" w:hAnsi="宋体" w:eastAsia="宋体" w:cs="Arial"/>
                <w:kern w:val="0"/>
                <w:sz w:val="18"/>
                <w:szCs w:val="18"/>
                <w:lang w:eastAsia="zh-CN"/>
              </w:rPr>
              <w:t>游戏进行指导？</w:t>
            </w:r>
          </w:p>
        </w:tc>
      </w:tr>
      <w:tr w14:paraId="55F10158">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4EC4477">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w:t>
            </w:r>
            <w:r>
              <w:rPr>
                <w:rFonts w:ascii="宋体" w:hAnsi="宋体" w:eastAsia="宋体"/>
                <w:color w:val="000000"/>
                <w:sz w:val="18"/>
                <w:szCs w:val="18"/>
                <w:lang w:eastAsia="zh-CN"/>
              </w:rPr>
              <w:t>2</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962DAEC">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五、游戏的分类指导</w:t>
            </w:r>
          </w:p>
          <w:p w14:paraId="270B9114">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3</w:t>
            </w:r>
            <w:r>
              <w:rPr>
                <w:rFonts w:ascii="Calibri" w:hAnsi="Calibri" w:eastAsia="宋体"/>
                <w:color w:val="000000"/>
                <w:sz w:val="20"/>
                <w:szCs w:val="20"/>
                <w:lang w:eastAsia="zh-CN"/>
              </w:rPr>
              <w:t>.</w:t>
            </w:r>
            <w:r>
              <w:rPr>
                <w:rFonts w:hint="eastAsia" w:ascii="Calibri" w:hAnsi="Calibri" w:eastAsia="宋体"/>
                <w:color w:val="000000"/>
                <w:sz w:val="20"/>
                <w:szCs w:val="20"/>
                <w:lang w:eastAsia="zh-CN"/>
              </w:rPr>
              <w:t>表演游戏的指导</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C96BE2">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讲授法、讨论法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73C78BF">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请思考，如何对幼儿</w:t>
            </w:r>
            <w:r>
              <w:rPr>
                <w:rFonts w:hint="eastAsia" w:ascii="宋体" w:hAnsi="宋体" w:eastAsia="宋体" w:cs="Arial"/>
                <w:kern w:val="0"/>
                <w:sz w:val="18"/>
                <w:szCs w:val="18"/>
                <w:lang w:eastAsia="zh-CN"/>
              </w:rPr>
              <w:t>表演</w:t>
            </w:r>
            <w:r>
              <w:rPr>
                <w:rFonts w:ascii="宋体" w:hAnsi="宋体" w:eastAsia="宋体" w:cs="Arial"/>
                <w:kern w:val="0"/>
                <w:sz w:val="18"/>
                <w:szCs w:val="18"/>
                <w:lang w:eastAsia="zh-CN"/>
              </w:rPr>
              <w:t>游戏进行指导？</w:t>
            </w:r>
          </w:p>
        </w:tc>
      </w:tr>
      <w:tr w14:paraId="63D13DAF">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9CD622A">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w:t>
            </w:r>
            <w:r>
              <w:rPr>
                <w:rFonts w:ascii="宋体" w:hAnsi="宋体" w:eastAsia="宋体"/>
                <w:color w:val="000000"/>
                <w:sz w:val="18"/>
                <w:szCs w:val="18"/>
                <w:lang w:eastAsia="zh-CN"/>
              </w:rPr>
              <w:t>3</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44D9057">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五、游戏的分类指导</w:t>
            </w:r>
          </w:p>
          <w:p w14:paraId="0C53189B">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4</w:t>
            </w:r>
            <w:r>
              <w:rPr>
                <w:rFonts w:ascii="Calibri" w:hAnsi="Calibri" w:eastAsia="宋体"/>
                <w:color w:val="000000"/>
                <w:sz w:val="20"/>
                <w:szCs w:val="20"/>
                <w:lang w:eastAsia="zh-CN"/>
              </w:rPr>
              <w:t>.</w:t>
            </w:r>
            <w:r>
              <w:rPr>
                <w:rFonts w:hint="eastAsia" w:ascii="Calibri" w:hAnsi="Calibri" w:eastAsia="宋体"/>
                <w:color w:val="000000"/>
                <w:sz w:val="20"/>
                <w:szCs w:val="20"/>
                <w:lang w:eastAsia="zh-CN"/>
              </w:rPr>
              <w:t>智力游戏的指导</w:t>
            </w:r>
          </w:p>
          <w:p w14:paraId="773BACE3">
            <w:pPr>
              <w:widowControl/>
              <w:rPr>
                <w:rFonts w:ascii="黑体" w:hAnsi="黑体" w:eastAsia="黑体"/>
                <w:kern w:val="0"/>
                <w:sz w:val="21"/>
                <w:szCs w:val="21"/>
                <w:lang w:eastAsia="zh-CN"/>
              </w:rPr>
            </w:pPr>
            <w:r>
              <w:rPr>
                <w:rFonts w:hint="eastAsia" w:ascii="Calibri" w:hAnsi="Calibri" w:eastAsia="宋体"/>
                <w:color w:val="000000"/>
                <w:sz w:val="20"/>
                <w:szCs w:val="20"/>
                <w:lang w:eastAsia="zh-CN"/>
              </w:rPr>
              <w:t>5</w:t>
            </w:r>
            <w:r>
              <w:rPr>
                <w:rFonts w:ascii="Calibri" w:hAnsi="Calibri" w:eastAsia="宋体"/>
                <w:color w:val="000000"/>
                <w:sz w:val="20"/>
                <w:szCs w:val="20"/>
                <w:lang w:eastAsia="zh-CN"/>
              </w:rPr>
              <w:t>.</w:t>
            </w:r>
            <w:r>
              <w:rPr>
                <w:rFonts w:hint="eastAsia" w:ascii="Calibri" w:hAnsi="Calibri" w:eastAsia="宋体"/>
                <w:color w:val="000000"/>
                <w:sz w:val="20"/>
                <w:szCs w:val="20"/>
                <w:lang w:eastAsia="zh-CN"/>
              </w:rPr>
              <w:t>体育游戏的指导</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4764732E">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讲授法、讨论法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3A38925">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请思考，如何对幼儿</w:t>
            </w:r>
            <w:r>
              <w:rPr>
                <w:rFonts w:hint="eastAsia" w:ascii="宋体" w:hAnsi="宋体" w:eastAsia="宋体" w:cs="Arial"/>
                <w:kern w:val="0"/>
                <w:sz w:val="18"/>
                <w:szCs w:val="18"/>
                <w:lang w:eastAsia="zh-CN"/>
              </w:rPr>
              <w:t>智力</w:t>
            </w:r>
            <w:r>
              <w:rPr>
                <w:rFonts w:ascii="宋体" w:hAnsi="宋体" w:eastAsia="宋体" w:cs="Arial"/>
                <w:kern w:val="0"/>
                <w:sz w:val="18"/>
                <w:szCs w:val="18"/>
                <w:lang w:eastAsia="zh-CN"/>
              </w:rPr>
              <w:t>游戏进行指导？如何对幼儿</w:t>
            </w:r>
            <w:r>
              <w:rPr>
                <w:rFonts w:hint="eastAsia" w:ascii="宋体" w:hAnsi="宋体" w:eastAsia="宋体" w:cs="Arial"/>
                <w:kern w:val="0"/>
                <w:sz w:val="18"/>
                <w:szCs w:val="18"/>
                <w:lang w:eastAsia="zh-CN"/>
              </w:rPr>
              <w:t>体育</w:t>
            </w:r>
            <w:r>
              <w:rPr>
                <w:rFonts w:ascii="宋体" w:hAnsi="宋体" w:eastAsia="宋体" w:cs="Arial"/>
                <w:kern w:val="0"/>
                <w:sz w:val="18"/>
                <w:szCs w:val="18"/>
                <w:lang w:eastAsia="zh-CN"/>
              </w:rPr>
              <w:t>游戏进行指导？</w:t>
            </w:r>
          </w:p>
        </w:tc>
      </w:tr>
      <w:tr w14:paraId="0F412CF4">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D385C7B">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w:t>
            </w:r>
            <w:r>
              <w:rPr>
                <w:rFonts w:ascii="宋体" w:hAnsi="宋体" w:eastAsia="宋体"/>
                <w:color w:val="000000"/>
                <w:sz w:val="18"/>
                <w:szCs w:val="18"/>
                <w:lang w:eastAsia="zh-CN"/>
              </w:rPr>
              <w:t>4</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021FE30">
            <w:pPr>
              <w:widowControl/>
              <w:rPr>
                <w:rFonts w:ascii="Calibri" w:hAnsi="Calibri" w:eastAsia="宋体"/>
                <w:color w:val="000000"/>
                <w:sz w:val="20"/>
                <w:szCs w:val="20"/>
                <w:lang w:eastAsia="zh-CN"/>
              </w:rPr>
            </w:pPr>
            <w:r>
              <w:rPr>
                <w:rFonts w:hint="eastAsia" w:ascii="Calibri" w:hAnsi="Calibri" w:eastAsia="宋体"/>
                <w:color w:val="000000"/>
                <w:sz w:val="20"/>
                <w:szCs w:val="20"/>
                <w:lang w:eastAsia="zh-CN"/>
              </w:rPr>
              <w:t>六、幼儿园其他游戏的组织</w:t>
            </w:r>
          </w:p>
          <w:p w14:paraId="725895C1">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1</w:t>
            </w:r>
            <w:r>
              <w:rPr>
                <w:rFonts w:ascii="Calibri" w:hAnsi="Calibri" w:eastAsia="宋体"/>
                <w:color w:val="000000"/>
                <w:sz w:val="20"/>
                <w:szCs w:val="20"/>
                <w:lang w:eastAsia="zh-CN"/>
              </w:rPr>
              <w:t>.</w:t>
            </w:r>
            <w:r>
              <w:rPr>
                <w:rFonts w:hint="eastAsia" w:ascii="Calibri" w:hAnsi="Calibri" w:eastAsia="宋体"/>
                <w:color w:val="000000"/>
                <w:sz w:val="20"/>
                <w:szCs w:val="20"/>
                <w:lang w:eastAsia="zh-CN"/>
              </w:rPr>
              <w:t>民间游戏在幼儿园教育中的运用</w:t>
            </w:r>
          </w:p>
          <w:p w14:paraId="2640C8D5">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2</w:t>
            </w:r>
            <w:r>
              <w:rPr>
                <w:rFonts w:ascii="Calibri" w:hAnsi="Calibri" w:eastAsia="宋体"/>
                <w:color w:val="000000"/>
                <w:sz w:val="20"/>
                <w:szCs w:val="20"/>
                <w:lang w:eastAsia="zh-CN"/>
              </w:rPr>
              <w:t>.</w:t>
            </w:r>
            <w:r>
              <w:rPr>
                <w:rFonts w:hint="eastAsia" w:ascii="Calibri" w:hAnsi="Calibri" w:eastAsia="宋体"/>
                <w:color w:val="000000"/>
                <w:sz w:val="20"/>
                <w:szCs w:val="20"/>
                <w:lang w:eastAsia="zh-CN"/>
              </w:rPr>
              <w:t>幼儿园亲子游戏活动的组织</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14:paraId="1E654775">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讲授法、</w:t>
            </w:r>
            <w:r>
              <w:rPr>
                <w:rFonts w:hint="eastAsia" w:ascii="宋体" w:hAnsi="宋体" w:eastAsia="宋体" w:cs="Arial"/>
                <w:kern w:val="0"/>
                <w:sz w:val="18"/>
                <w:szCs w:val="18"/>
                <w:lang w:eastAsia="zh-CN"/>
              </w:rPr>
              <w:t>案例分析</w:t>
            </w:r>
            <w:r>
              <w:rPr>
                <w:rFonts w:ascii="宋体" w:hAnsi="宋体" w:eastAsia="宋体" w:cs="Arial"/>
                <w:kern w:val="0"/>
                <w:sz w:val="18"/>
                <w:szCs w:val="18"/>
                <w:lang w:eastAsia="zh-CN"/>
              </w:rPr>
              <w:t>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E731032">
            <w:pPr>
              <w:widowControl/>
              <w:tabs>
                <w:tab w:val="left" w:pos="830"/>
                <w:tab w:val="center" w:pos="1440"/>
              </w:tabs>
              <w:rPr>
                <w:rFonts w:ascii="宋体" w:hAnsi="宋体" w:eastAsia="宋体" w:cs="Arial"/>
                <w:kern w:val="0"/>
                <w:sz w:val="18"/>
                <w:szCs w:val="18"/>
                <w:lang w:eastAsia="zh-CN"/>
              </w:rPr>
            </w:pPr>
            <w:r>
              <w:rPr>
                <w:rFonts w:hint="eastAsia" w:ascii="宋体" w:hAnsi="宋体" w:eastAsia="宋体" w:cs="Arial"/>
                <w:kern w:val="0"/>
                <w:sz w:val="18"/>
                <w:szCs w:val="18"/>
                <w:lang w:eastAsia="zh-CN"/>
              </w:rPr>
              <w:t>请思考，如何在幼儿园传承民间游戏？</w:t>
            </w:r>
          </w:p>
        </w:tc>
      </w:tr>
      <w:tr w14:paraId="7219F9C1">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2663780">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w:t>
            </w:r>
            <w:r>
              <w:rPr>
                <w:rFonts w:ascii="宋体" w:hAnsi="宋体" w:eastAsia="宋体"/>
                <w:color w:val="000000"/>
                <w:sz w:val="18"/>
                <w:szCs w:val="18"/>
                <w:lang w:eastAsia="zh-CN"/>
              </w:rPr>
              <w:t>5</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DC86F95">
            <w:pPr>
              <w:widowControl/>
              <w:rPr>
                <w:rFonts w:ascii="Calibri" w:hAnsi="Calibri" w:eastAsia="宋体"/>
                <w:color w:val="000000"/>
                <w:sz w:val="20"/>
                <w:szCs w:val="20"/>
                <w:lang w:eastAsia="zh-CN"/>
              </w:rPr>
            </w:pPr>
            <w:r>
              <w:rPr>
                <w:rFonts w:hint="eastAsia" w:ascii="Calibri" w:hAnsi="Calibri" w:eastAsia="宋体"/>
                <w:color w:val="000000"/>
                <w:sz w:val="20"/>
                <w:szCs w:val="20"/>
                <w:lang w:eastAsia="zh-CN"/>
              </w:rPr>
              <w:t>六、幼儿园其他游戏的组织</w:t>
            </w:r>
          </w:p>
          <w:p w14:paraId="04DD41FF">
            <w:pPr>
              <w:widowControl/>
              <w:rPr>
                <w:rFonts w:ascii="Calibri" w:hAnsi="Calibri" w:eastAsia="宋体"/>
                <w:color w:val="000000"/>
                <w:sz w:val="20"/>
                <w:szCs w:val="20"/>
                <w:lang w:eastAsia="zh-CN"/>
              </w:rPr>
            </w:pPr>
            <w:r>
              <w:rPr>
                <w:rFonts w:hint="eastAsia" w:ascii="Calibri" w:hAnsi="Calibri" w:eastAsia="宋体"/>
                <w:color w:val="000000"/>
                <w:sz w:val="20"/>
                <w:szCs w:val="20"/>
                <w:lang w:eastAsia="zh-CN"/>
              </w:rPr>
              <w:t>3</w:t>
            </w:r>
            <w:r>
              <w:rPr>
                <w:rFonts w:ascii="Calibri" w:hAnsi="Calibri" w:eastAsia="宋体"/>
                <w:color w:val="000000"/>
                <w:sz w:val="20"/>
                <w:szCs w:val="20"/>
                <w:lang w:eastAsia="zh-CN"/>
              </w:rPr>
              <w:t>.</w:t>
            </w:r>
            <w:r>
              <w:rPr>
                <w:rFonts w:hint="eastAsia" w:ascii="Calibri" w:hAnsi="Calibri" w:eastAsia="宋体"/>
                <w:color w:val="000000"/>
                <w:sz w:val="20"/>
                <w:szCs w:val="20"/>
                <w:lang w:eastAsia="zh-CN"/>
              </w:rPr>
              <w:t>如何组织幼儿手指游戏</w:t>
            </w:r>
          </w:p>
          <w:p w14:paraId="366BFF72">
            <w:pPr>
              <w:widowControl/>
              <w:rPr>
                <w:rFonts w:ascii="黑体" w:hAnsi="黑体" w:eastAsia="黑体"/>
                <w:kern w:val="0"/>
                <w:sz w:val="21"/>
                <w:szCs w:val="21"/>
                <w:lang w:eastAsia="zh-CN"/>
              </w:rPr>
            </w:pPr>
            <w:r>
              <w:rPr>
                <w:rFonts w:hint="eastAsia" w:ascii="Calibri" w:hAnsi="Calibri" w:eastAsia="宋体"/>
                <w:color w:val="000000"/>
                <w:sz w:val="20"/>
                <w:szCs w:val="20"/>
                <w:lang w:eastAsia="zh-CN"/>
              </w:rPr>
              <w:t>4</w:t>
            </w:r>
            <w:r>
              <w:rPr>
                <w:rFonts w:ascii="Calibri" w:hAnsi="Calibri" w:eastAsia="宋体"/>
                <w:color w:val="000000"/>
                <w:sz w:val="20"/>
                <w:szCs w:val="20"/>
                <w:lang w:eastAsia="zh-CN"/>
              </w:rPr>
              <w:t>.</w:t>
            </w:r>
            <w:r>
              <w:rPr>
                <w:rFonts w:hint="eastAsia" w:ascii="Calibri" w:hAnsi="Calibri" w:eastAsia="宋体"/>
                <w:color w:val="000000"/>
                <w:sz w:val="20"/>
                <w:szCs w:val="20"/>
                <w:lang w:eastAsia="zh-CN"/>
              </w:rPr>
              <w:t>科技与电子游戏</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8337900">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讲授法、讨论法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9B5E4DF">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请思考，如何全面而准确地认识电子游戏？</w:t>
            </w:r>
          </w:p>
        </w:tc>
      </w:tr>
      <w:tr w14:paraId="0D76E8DC">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98F4A89">
            <w:pPr>
              <w:widowControl/>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w:t>
            </w:r>
            <w:r>
              <w:rPr>
                <w:rFonts w:ascii="宋体" w:hAnsi="宋体" w:eastAsia="宋体"/>
                <w:color w:val="000000"/>
                <w:sz w:val="18"/>
                <w:szCs w:val="18"/>
                <w:lang w:eastAsia="zh-CN"/>
              </w:rPr>
              <w:t>6</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837104D">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七、游戏精神在幼儿园中的实现</w:t>
            </w:r>
          </w:p>
          <w:p w14:paraId="28E87059">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1</w:t>
            </w:r>
            <w:r>
              <w:rPr>
                <w:rFonts w:ascii="Calibri" w:hAnsi="Calibri" w:eastAsia="宋体"/>
                <w:color w:val="000000"/>
                <w:sz w:val="20"/>
                <w:szCs w:val="20"/>
                <w:lang w:eastAsia="zh-CN"/>
              </w:rPr>
              <w:t>.</w:t>
            </w:r>
            <w:r>
              <w:rPr>
                <w:rFonts w:hint="eastAsia" w:ascii="Calibri" w:hAnsi="Calibri" w:eastAsia="宋体"/>
                <w:color w:val="000000"/>
                <w:sz w:val="20"/>
                <w:szCs w:val="20"/>
                <w:lang w:eastAsia="zh-CN"/>
              </w:rPr>
              <w:t>幼儿园中游戏精神的理念探索</w:t>
            </w:r>
          </w:p>
          <w:p w14:paraId="392B597D">
            <w:pPr>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2</w:t>
            </w:r>
            <w:r>
              <w:rPr>
                <w:rFonts w:ascii="Calibri" w:hAnsi="Calibri" w:eastAsia="宋体"/>
                <w:color w:val="000000"/>
                <w:sz w:val="20"/>
                <w:szCs w:val="20"/>
                <w:lang w:eastAsia="zh-CN"/>
              </w:rPr>
              <w:t>.</w:t>
            </w:r>
            <w:r>
              <w:rPr>
                <w:rFonts w:hint="eastAsia" w:ascii="Calibri" w:hAnsi="Calibri" w:eastAsia="宋体"/>
                <w:color w:val="000000"/>
                <w:sz w:val="20"/>
                <w:szCs w:val="20"/>
                <w:lang w:eastAsia="zh-CN"/>
              </w:rPr>
              <w:t>幼儿园中游戏精神的实践</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F14E394">
            <w:pPr>
              <w:widowControl/>
              <w:rPr>
                <w:rFonts w:ascii="黑体" w:hAnsi="黑体" w:eastAsia="黑体"/>
                <w:kern w:val="0"/>
                <w:sz w:val="21"/>
                <w:szCs w:val="21"/>
                <w:lang w:eastAsia="zh-CN"/>
              </w:rPr>
            </w:pPr>
            <w:r>
              <w:rPr>
                <w:rFonts w:hint="eastAsia" w:ascii="Calibri" w:hAnsi="Calibri" w:eastAsia="宋体"/>
                <w:color w:val="000000"/>
                <w:sz w:val="20"/>
                <w:szCs w:val="20"/>
                <w:lang w:eastAsia="zh-CN"/>
              </w:rPr>
              <w:t>讲授法、讨论法</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F6B966E">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eastAsia="zh-CN"/>
              </w:rPr>
              <w:t>请思考，何为游戏精神？</w:t>
            </w:r>
          </w:p>
        </w:tc>
      </w:tr>
    </w:tbl>
    <w:p w14:paraId="25CFECCE">
      <w:pPr>
        <w:snapToGrid w:val="0"/>
        <w:jc w:val="both"/>
        <w:rPr>
          <w:rFonts w:ascii="仿宋" w:hAnsi="仿宋" w:eastAsia="仿宋"/>
          <w:b/>
          <w:color w:val="000000"/>
          <w:sz w:val="28"/>
          <w:szCs w:val="28"/>
          <w:lang w:eastAsia="zh-CN"/>
        </w:rPr>
      </w:pPr>
    </w:p>
    <w:p w14:paraId="34BC6D1C">
      <w:pPr>
        <w:snapToGrid w:val="0"/>
        <w:spacing w:before="360" w:beforeLines="10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w:t>
      </w:r>
      <w:r>
        <w:rPr>
          <w:rFonts w:ascii="仿宋" w:hAnsi="仿宋" w:eastAsia="仿宋"/>
          <w:b/>
          <w:color w:val="000000"/>
          <w:sz w:val="28"/>
          <w:szCs w:val="28"/>
          <w:lang w:eastAsia="zh-CN"/>
        </w:rPr>
        <w:t>在总评</w:t>
      </w:r>
      <w:r>
        <w:rPr>
          <w:rFonts w:hint="eastAsia" w:ascii="仿宋" w:hAnsi="仿宋" w:eastAsia="仿宋"/>
          <w:b/>
          <w:color w:val="000000"/>
          <w:sz w:val="28"/>
          <w:szCs w:val="28"/>
          <w:lang w:eastAsia="zh-CN"/>
        </w:rPr>
        <w:t>成绩</w:t>
      </w:r>
      <w:r>
        <w:rPr>
          <w:rFonts w:ascii="仿宋" w:hAnsi="仿宋" w:eastAsia="仿宋"/>
          <w:b/>
          <w:color w:val="000000"/>
          <w:sz w:val="28"/>
          <w:szCs w:val="28"/>
          <w:lang w:eastAsia="zh-CN"/>
        </w:rPr>
        <w:t>中的比</w:t>
      </w:r>
      <w:r>
        <w:rPr>
          <w:rFonts w:hint="eastAsia" w:ascii="仿宋" w:hAnsi="仿宋" w:eastAsia="仿宋"/>
          <w:b/>
          <w:color w:val="000000"/>
          <w:sz w:val="28"/>
          <w:szCs w:val="28"/>
          <w:lang w:eastAsia="zh-CN"/>
        </w:rPr>
        <w:t>例</w:t>
      </w:r>
    </w:p>
    <w:tbl>
      <w:tblPr>
        <w:tblStyle w:val="4"/>
        <w:tblpPr w:leftFromText="180" w:rightFromText="180" w:vertAnchor="text" w:horzAnchor="page" w:tblpX="1853" w:tblpY="717"/>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14:paraId="00F5EB93">
        <w:tc>
          <w:tcPr>
            <w:tcW w:w="1810" w:type="dxa"/>
            <w:tcBorders>
              <w:top w:val="single" w:color="auto" w:sz="4" w:space="0"/>
              <w:left w:val="single" w:color="auto" w:sz="4" w:space="0"/>
              <w:bottom w:val="single" w:color="auto" w:sz="4" w:space="0"/>
              <w:right w:val="single" w:color="auto" w:sz="4" w:space="0"/>
            </w:tcBorders>
          </w:tcPr>
          <w:p w14:paraId="1D402F89">
            <w:pPr>
              <w:snapToGrid w:val="0"/>
              <w:spacing w:before="180" w:beforeLines="50" w:after="180" w:afterLines="50"/>
              <w:rPr>
                <w:bCs/>
                <w:color w:val="000000"/>
                <w:szCs w:val="20"/>
              </w:rPr>
            </w:pPr>
            <w:r>
              <w:rPr>
                <w:rFonts w:hint="eastAsia"/>
                <w:bCs/>
                <w:color w:val="000000"/>
                <w:szCs w:val="20"/>
              </w:rPr>
              <w:t>总评构成（1+X）</w:t>
            </w:r>
          </w:p>
        </w:tc>
        <w:tc>
          <w:tcPr>
            <w:tcW w:w="5106" w:type="dxa"/>
            <w:tcBorders>
              <w:top w:val="single" w:color="auto" w:sz="4" w:space="0"/>
              <w:left w:val="single" w:color="auto" w:sz="4" w:space="0"/>
              <w:bottom w:val="single" w:color="auto" w:sz="4" w:space="0"/>
              <w:right w:val="single" w:color="auto" w:sz="4" w:space="0"/>
            </w:tcBorders>
          </w:tcPr>
          <w:p w14:paraId="426C49F9">
            <w:pPr>
              <w:snapToGrid w:val="0"/>
              <w:spacing w:before="180" w:beforeLines="50" w:after="180" w:afterLines="50"/>
              <w:jc w:val="center"/>
              <w:rPr>
                <w:bCs/>
                <w:color w:val="000000"/>
                <w:szCs w:val="20"/>
              </w:rPr>
            </w:pPr>
            <w:r>
              <w:rPr>
                <w:rFonts w:hint="eastAsia"/>
                <w:bCs/>
                <w:color w:val="000000"/>
                <w:szCs w:val="20"/>
              </w:rPr>
              <w:t>评价方式</w:t>
            </w:r>
          </w:p>
        </w:tc>
        <w:tc>
          <w:tcPr>
            <w:tcW w:w="1844" w:type="dxa"/>
            <w:tcBorders>
              <w:top w:val="single" w:color="auto" w:sz="4" w:space="0"/>
              <w:left w:val="single" w:color="auto" w:sz="4" w:space="0"/>
              <w:bottom w:val="single" w:color="auto" w:sz="4" w:space="0"/>
              <w:right w:val="single" w:color="auto" w:sz="4" w:space="0"/>
            </w:tcBorders>
          </w:tcPr>
          <w:p w14:paraId="4F5EBFEE">
            <w:pPr>
              <w:snapToGrid w:val="0"/>
              <w:spacing w:before="180" w:beforeLines="50" w:after="180" w:afterLines="50"/>
              <w:jc w:val="center"/>
              <w:rPr>
                <w:bCs/>
                <w:color w:val="000000"/>
                <w:szCs w:val="20"/>
              </w:rPr>
            </w:pPr>
            <w:r>
              <w:rPr>
                <w:rFonts w:hint="eastAsia"/>
                <w:bCs/>
                <w:color w:val="000000"/>
                <w:szCs w:val="20"/>
              </w:rPr>
              <w:t>占比</w:t>
            </w:r>
          </w:p>
        </w:tc>
      </w:tr>
      <w:tr w14:paraId="1CD0BFAE">
        <w:tc>
          <w:tcPr>
            <w:tcW w:w="1810" w:type="dxa"/>
            <w:tcBorders>
              <w:top w:val="single" w:color="auto" w:sz="4" w:space="0"/>
              <w:left w:val="single" w:color="auto" w:sz="4" w:space="0"/>
              <w:bottom w:val="single" w:color="auto" w:sz="4" w:space="0"/>
              <w:right w:val="single" w:color="auto" w:sz="4" w:space="0"/>
            </w:tcBorders>
          </w:tcPr>
          <w:p w14:paraId="755B1F45">
            <w:pPr>
              <w:snapToGrid w:val="0"/>
              <w:spacing w:before="180" w:beforeLines="50" w:after="180" w:afterLines="50"/>
              <w:jc w:val="center"/>
              <w:rPr>
                <w:bCs/>
                <w:color w:val="000000"/>
                <w:szCs w:val="20"/>
              </w:rPr>
            </w:pPr>
            <w:r>
              <w:rPr>
                <w:rFonts w:hint="eastAsia"/>
                <w:bCs/>
                <w:color w:val="000000"/>
                <w:szCs w:val="20"/>
              </w:rPr>
              <w:t>1</w:t>
            </w:r>
          </w:p>
        </w:tc>
        <w:tc>
          <w:tcPr>
            <w:tcW w:w="5106" w:type="dxa"/>
            <w:tcBorders>
              <w:top w:val="single" w:color="auto" w:sz="4" w:space="0"/>
              <w:left w:val="single" w:color="auto" w:sz="4" w:space="0"/>
              <w:bottom w:val="single" w:color="auto" w:sz="4" w:space="0"/>
              <w:right w:val="single" w:color="auto" w:sz="4" w:space="0"/>
            </w:tcBorders>
          </w:tcPr>
          <w:p w14:paraId="43CB951A">
            <w:pPr>
              <w:snapToGrid w:val="0"/>
              <w:spacing w:before="180" w:beforeLines="50" w:after="180" w:afterLines="50"/>
              <w:jc w:val="center"/>
              <w:rPr>
                <w:bCs/>
                <w:color w:val="000000"/>
                <w:szCs w:val="20"/>
              </w:rPr>
            </w:pPr>
            <w:r>
              <w:rPr>
                <w:rFonts w:hint="eastAsia"/>
                <w:bCs/>
                <w:color w:val="000000"/>
                <w:szCs w:val="20"/>
              </w:rPr>
              <w:t>期末考试</w:t>
            </w:r>
          </w:p>
        </w:tc>
        <w:tc>
          <w:tcPr>
            <w:tcW w:w="1844" w:type="dxa"/>
            <w:tcBorders>
              <w:top w:val="single" w:color="auto" w:sz="4" w:space="0"/>
              <w:left w:val="single" w:color="auto" w:sz="4" w:space="0"/>
              <w:bottom w:val="single" w:color="auto" w:sz="4" w:space="0"/>
              <w:right w:val="single" w:color="auto" w:sz="4" w:space="0"/>
            </w:tcBorders>
          </w:tcPr>
          <w:p w14:paraId="7423CF33">
            <w:pPr>
              <w:snapToGrid w:val="0"/>
              <w:spacing w:before="180" w:beforeLines="50" w:after="180" w:afterLines="50"/>
              <w:jc w:val="center"/>
              <w:rPr>
                <w:bCs/>
                <w:color w:val="000000"/>
                <w:szCs w:val="20"/>
              </w:rPr>
            </w:pPr>
            <w:r>
              <w:rPr>
                <w:rFonts w:hint="eastAsia"/>
                <w:bCs/>
                <w:color w:val="000000"/>
                <w:szCs w:val="20"/>
              </w:rPr>
              <w:t>60%</w:t>
            </w:r>
          </w:p>
        </w:tc>
      </w:tr>
      <w:tr w14:paraId="416B3E66">
        <w:tc>
          <w:tcPr>
            <w:tcW w:w="1810" w:type="dxa"/>
            <w:tcBorders>
              <w:top w:val="single" w:color="auto" w:sz="4" w:space="0"/>
              <w:left w:val="single" w:color="auto" w:sz="4" w:space="0"/>
              <w:bottom w:val="single" w:color="auto" w:sz="4" w:space="0"/>
              <w:right w:val="single" w:color="auto" w:sz="4" w:space="0"/>
            </w:tcBorders>
          </w:tcPr>
          <w:p w14:paraId="0F563C46">
            <w:pPr>
              <w:snapToGrid w:val="0"/>
              <w:spacing w:before="180" w:beforeLines="50" w:after="180" w:afterLines="50"/>
              <w:jc w:val="center"/>
              <w:rPr>
                <w:bCs/>
                <w:color w:val="000000"/>
                <w:szCs w:val="20"/>
              </w:rPr>
            </w:pPr>
            <w:r>
              <w:rPr>
                <w:rFonts w:hint="eastAsia"/>
                <w:bCs/>
                <w:color w:val="000000"/>
                <w:szCs w:val="20"/>
              </w:rPr>
              <w:t>X1</w:t>
            </w:r>
          </w:p>
        </w:tc>
        <w:tc>
          <w:tcPr>
            <w:tcW w:w="5106" w:type="dxa"/>
            <w:tcBorders>
              <w:top w:val="single" w:color="auto" w:sz="4" w:space="0"/>
              <w:left w:val="single" w:color="auto" w:sz="4" w:space="0"/>
              <w:bottom w:val="single" w:color="auto" w:sz="4" w:space="0"/>
              <w:right w:val="single" w:color="auto" w:sz="4" w:space="0"/>
            </w:tcBorders>
          </w:tcPr>
          <w:p w14:paraId="7A52F689">
            <w:pPr>
              <w:snapToGrid w:val="0"/>
              <w:spacing w:before="180" w:beforeLines="50" w:after="180" w:afterLines="50"/>
              <w:jc w:val="center"/>
              <w:rPr>
                <w:bCs/>
                <w:color w:val="000000"/>
                <w:szCs w:val="20"/>
              </w:rPr>
            </w:pPr>
            <w:r>
              <w:rPr>
                <w:rFonts w:hint="eastAsia"/>
                <w:bCs/>
                <w:color w:val="000000"/>
                <w:szCs w:val="20"/>
              </w:rPr>
              <w:t>问题提出与观点表达</w:t>
            </w:r>
          </w:p>
        </w:tc>
        <w:tc>
          <w:tcPr>
            <w:tcW w:w="1844" w:type="dxa"/>
            <w:tcBorders>
              <w:top w:val="single" w:color="auto" w:sz="4" w:space="0"/>
              <w:left w:val="single" w:color="auto" w:sz="4" w:space="0"/>
              <w:bottom w:val="single" w:color="auto" w:sz="4" w:space="0"/>
              <w:right w:val="single" w:color="auto" w:sz="4" w:space="0"/>
            </w:tcBorders>
          </w:tcPr>
          <w:p w14:paraId="5BC8CCF2">
            <w:pPr>
              <w:snapToGrid w:val="0"/>
              <w:spacing w:before="180" w:beforeLines="50" w:after="180" w:afterLines="50"/>
              <w:jc w:val="center"/>
              <w:rPr>
                <w:bCs/>
                <w:color w:val="000000"/>
                <w:szCs w:val="20"/>
              </w:rPr>
            </w:pPr>
            <w:r>
              <w:rPr>
                <w:rFonts w:hint="eastAsia"/>
                <w:bCs/>
                <w:color w:val="000000"/>
                <w:szCs w:val="20"/>
              </w:rPr>
              <w:t>10%</w:t>
            </w:r>
          </w:p>
        </w:tc>
      </w:tr>
      <w:tr w14:paraId="78AF454A">
        <w:tc>
          <w:tcPr>
            <w:tcW w:w="1810" w:type="dxa"/>
            <w:tcBorders>
              <w:top w:val="single" w:color="auto" w:sz="4" w:space="0"/>
              <w:left w:val="single" w:color="auto" w:sz="4" w:space="0"/>
              <w:bottom w:val="single" w:color="auto" w:sz="4" w:space="0"/>
              <w:right w:val="single" w:color="auto" w:sz="4" w:space="0"/>
            </w:tcBorders>
          </w:tcPr>
          <w:p w14:paraId="4A45AAC4">
            <w:pPr>
              <w:snapToGrid w:val="0"/>
              <w:spacing w:before="180" w:beforeLines="50" w:after="180" w:afterLines="50"/>
              <w:jc w:val="center"/>
              <w:rPr>
                <w:bCs/>
                <w:color w:val="000000"/>
                <w:szCs w:val="20"/>
              </w:rPr>
            </w:pPr>
            <w:r>
              <w:rPr>
                <w:rFonts w:hint="eastAsia"/>
                <w:bCs/>
                <w:color w:val="000000"/>
                <w:szCs w:val="20"/>
              </w:rPr>
              <w:t>X2</w:t>
            </w:r>
          </w:p>
        </w:tc>
        <w:tc>
          <w:tcPr>
            <w:tcW w:w="5106" w:type="dxa"/>
            <w:tcBorders>
              <w:top w:val="single" w:color="auto" w:sz="4" w:space="0"/>
              <w:left w:val="single" w:color="auto" w:sz="4" w:space="0"/>
              <w:bottom w:val="single" w:color="auto" w:sz="4" w:space="0"/>
              <w:right w:val="single" w:color="auto" w:sz="4" w:space="0"/>
            </w:tcBorders>
          </w:tcPr>
          <w:p w14:paraId="6DB507A1">
            <w:pPr>
              <w:snapToGrid w:val="0"/>
              <w:spacing w:before="180" w:beforeLines="50" w:after="180" w:afterLines="50"/>
              <w:jc w:val="center"/>
              <w:rPr>
                <w:bCs/>
                <w:color w:val="000000"/>
                <w:szCs w:val="20"/>
              </w:rPr>
            </w:pPr>
            <w:r>
              <w:rPr>
                <w:rFonts w:hint="eastAsia"/>
                <w:bCs/>
                <w:color w:val="000000"/>
                <w:szCs w:val="20"/>
              </w:rPr>
              <w:t>游戏故事（案例与分析）</w:t>
            </w:r>
          </w:p>
        </w:tc>
        <w:tc>
          <w:tcPr>
            <w:tcW w:w="1844" w:type="dxa"/>
            <w:tcBorders>
              <w:top w:val="single" w:color="auto" w:sz="4" w:space="0"/>
              <w:left w:val="single" w:color="auto" w:sz="4" w:space="0"/>
              <w:bottom w:val="single" w:color="auto" w:sz="4" w:space="0"/>
              <w:right w:val="single" w:color="auto" w:sz="4" w:space="0"/>
            </w:tcBorders>
          </w:tcPr>
          <w:p w14:paraId="54F290F1">
            <w:pPr>
              <w:snapToGrid w:val="0"/>
              <w:spacing w:before="180" w:beforeLines="50" w:after="180" w:afterLines="50"/>
              <w:jc w:val="center"/>
              <w:rPr>
                <w:bCs/>
                <w:color w:val="000000"/>
                <w:szCs w:val="20"/>
              </w:rPr>
            </w:pPr>
            <w:r>
              <w:rPr>
                <w:rFonts w:hint="eastAsia"/>
                <w:bCs/>
                <w:color w:val="000000"/>
                <w:szCs w:val="20"/>
              </w:rPr>
              <w:t>10%</w:t>
            </w:r>
          </w:p>
        </w:tc>
      </w:tr>
      <w:tr w14:paraId="4E9EF8A8">
        <w:tc>
          <w:tcPr>
            <w:tcW w:w="1810" w:type="dxa"/>
            <w:tcBorders>
              <w:top w:val="single" w:color="auto" w:sz="4" w:space="0"/>
              <w:left w:val="single" w:color="auto" w:sz="4" w:space="0"/>
              <w:bottom w:val="single" w:color="auto" w:sz="4" w:space="0"/>
              <w:right w:val="single" w:color="auto" w:sz="4" w:space="0"/>
            </w:tcBorders>
          </w:tcPr>
          <w:p w14:paraId="77021C9E">
            <w:pPr>
              <w:snapToGrid w:val="0"/>
              <w:spacing w:before="180" w:beforeLines="50" w:after="180" w:afterLines="50"/>
              <w:jc w:val="center"/>
              <w:rPr>
                <w:bCs/>
                <w:color w:val="000000"/>
                <w:szCs w:val="20"/>
              </w:rPr>
            </w:pPr>
            <w:r>
              <w:rPr>
                <w:rFonts w:hint="eastAsia"/>
                <w:bCs/>
                <w:color w:val="000000"/>
                <w:szCs w:val="20"/>
              </w:rPr>
              <w:t>X3</w:t>
            </w:r>
          </w:p>
        </w:tc>
        <w:tc>
          <w:tcPr>
            <w:tcW w:w="5106" w:type="dxa"/>
            <w:tcBorders>
              <w:top w:val="single" w:color="auto" w:sz="4" w:space="0"/>
              <w:left w:val="single" w:color="auto" w:sz="4" w:space="0"/>
              <w:bottom w:val="single" w:color="auto" w:sz="4" w:space="0"/>
              <w:right w:val="single" w:color="auto" w:sz="4" w:space="0"/>
            </w:tcBorders>
          </w:tcPr>
          <w:p w14:paraId="2710D99A">
            <w:pPr>
              <w:snapToGrid w:val="0"/>
              <w:spacing w:before="180" w:beforeLines="50" w:after="180" w:afterLines="50"/>
              <w:jc w:val="center"/>
              <w:rPr>
                <w:bCs/>
                <w:color w:val="000000"/>
                <w:szCs w:val="20"/>
              </w:rPr>
            </w:pPr>
            <w:r>
              <w:rPr>
                <w:rFonts w:hint="eastAsia"/>
                <w:bCs/>
                <w:color w:val="000000"/>
                <w:szCs w:val="20"/>
              </w:rPr>
              <w:t>游戏情景表演与评点</w:t>
            </w:r>
          </w:p>
        </w:tc>
        <w:tc>
          <w:tcPr>
            <w:tcW w:w="1844" w:type="dxa"/>
            <w:tcBorders>
              <w:top w:val="single" w:color="auto" w:sz="4" w:space="0"/>
              <w:left w:val="single" w:color="auto" w:sz="4" w:space="0"/>
              <w:bottom w:val="single" w:color="auto" w:sz="4" w:space="0"/>
              <w:right w:val="single" w:color="auto" w:sz="4" w:space="0"/>
            </w:tcBorders>
          </w:tcPr>
          <w:p w14:paraId="4C78BAB1">
            <w:pPr>
              <w:snapToGrid w:val="0"/>
              <w:spacing w:before="180" w:beforeLines="50" w:after="180" w:afterLines="50"/>
              <w:jc w:val="center"/>
              <w:rPr>
                <w:bCs/>
                <w:color w:val="000000"/>
                <w:szCs w:val="20"/>
              </w:rPr>
            </w:pPr>
            <w:r>
              <w:rPr>
                <w:rFonts w:hint="eastAsia"/>
                <w:bCs/>
                <w:color w:val="000000"/>
                <w:szCs w:val="20"/>
              </w:rPr>
              <w:t>10%</w:t>
            </w:r>
          </w:p>
        </w:tc>
      </w:tr>
      <w:tr w14:paraId="3AADAB31">
        <w:tc>
          <w:tcPr>
            <w:tcW w:w="1810" w:type="dxa"/>
            <w:tcBorders>
              <w:top w:val="single" w:color="auto" w:sz="4" w:space="0"/>
              <w:left w:val="single" w:color="auto" w:sz="4" w:space="0"/>
              <w:bottom w:val="single" w:color="auto" w:sz="4" w:space="0"/>
              <w:right w:val="single" w:color="auto" w:sz="4" w:space="0"/>
            </w:tcBorders>
          </w:tcPr>
          <w:p w14:paraId="43B63580">
            <w:pPr>
              <w:snapToGrid w:val="0"/>
              <w:spacing w:before="180" w:beforeLines="50" w:after="180" w:afterLines="50"/>
              <w:jc w:val="center"/>
              <w:rPr>
                <w:bCs/>
                <w:color w:val="000000"/>
                <w:szCs w:val="20"/>
              </w:rPr>
            </w:pPr>
            <w:r>
              <w:rPr>
                <w:rFonts w:hint="eastAsia"/>
                <w:bCs/>
                <w:color w:val="000000"/>
                <w:szCs w:val="20"/>
              </w:rPr>
              <w:t>X4</w:t>
            </w:r>
          </w:p>
        </w:tc>
        <w:tc>
          <w:tcPr>
            <w:tcW w:w="5106" w:type="dxa"/>
            <w:tcBorders>
              <w:top w:val="single" w:color="auto" w:sz="4" w:space="0"/>
              <w:left w:val="single" w:color="auto" w:sz="4" w:space="0"/>
              <w:bottom w:val="single" w:color="auto" w:sz="4" w:space="0"/>
              <w:right w:val="single" w:color="auto" w:sz="4" w:space="0"/>
            </w:tcBorders>
          </w:tcPr>
          <w:p w14:paraId="402F3BA1">
            <w:pPr>
              <w:snapToGrid w:val="0"/>
              <w:spacing w:before="180" w:beforeLines="50" w:after="180" w:afterLines="50"/>
              <w:jc w:val="center"/>
              <w:rPr>
                <w:bCs/>
                <w:color w:val="000000"/>
                <w:szCs w:val="20"/>
              </w:rPr>
            </w:pPr>
            <w:r>
              <w:rPr>
                <w:rFonts w:hint="eastAsia"/>
                <w:bCs/>
                <w:color w:val="000000"/>
                <w:szCs w:val="20"/>
              </w:rPr>
              <w:t>课堂参与</w:t>
            </w:r>
          </w:p>
        </w:tc>
        <w:tc>
          <w:tcPr>
            <w:tcW w:w="1844" w:type="dxa"/>
            <w:tcBorders>
              <w:top w:val="single" w:color="auto" w:sz="4" w:space="0"/>
              <w:left w:val="single" w:color="auto" w:sz="4" w:space="0"/>
              <w:bottom w:val="single" w:color="auto" w:sz="4" w:space="0"/>
              <w:right w:val="single" w:color="auto" w:sz="4" w:space="0"/>
            </w:tcBorders>
          </w:tcPr>
          <w:p w14:paraId="6F0F57F1">
            <w:pPr>
              <w:snapToGrid w:val="0"/>
              <w:spacing w:before="180" w:beforeLines="50" w:after="180" w:afterLines="50"/>
              <w:jc w:val="center"/>
              <w:rPr>
                <w:bCs/>
                <w:color w:val="000000"/>
                <w:szCs w:val="20"/>
              </w:rPr>
            </w:pPr>
            <w:r>
              <w:rPr>
                <w:rFonts w:hint="eastAsia"/>
                <w:bCs/>
                <w:color w:val="000000"/>
                <w:szCs w:val="20"/>
              </w:rPr>
              <w:t>10%</w:t>
            </w:r>
          </w:p>
        </w:tc>
      </w:tr>
    </w:tbl>
    <w:p w14:paraId="2D208F51"/>
    <w:p w14:paraId="5526E5C6">
      <w:pPr>
        <w:tabs>
          <w:tab w:val="left" w:pos="3420"/>
          <w:tab w:val="left" w:pos="7560"/>
        </w:tabs>
        <w:spacing w:before="72" w:beforeLines="20"/>
        <w:ind w:left="420" w:hanging="420"/>
        <w:jc w:val="both"/>
        <w:outlineLvl w:val="0"/>
        <w:rPr>
          <w:rFonts w:ascii="仿宋" w:hAnsi="仿宋" w:eastAsia="仿宋"/>
          <w:color w:val="000000"/>
          <w:position w:val="-20"/>
          <w:lang w:eastAsia="zh-CN"/>
        </w:rPr>
      </w:pPr>
      <w:r>
        <w:rPr>
          <w:rFonts w:ascii="仿宋" w:hAnsi="仿宋" w:eastAsia="仿宋"/>
          <w:color w:val="000000"/>
          <w:position w:val="-20"/>
          <w:lang w:eastAsia="zh-CN"/>
        </w:rPr>
        <w:t>备注：</w:t>
      </w:r>
    </w:p>
    <w:p w14:paraId="5049C47B">
      <w:pPr>
        <w:tabs>
          <w:tab w:val="left" w:pos="3420"/>
          <w:tab w:val="left" w:pos="7560"/>
        </w:tabs>
        <w:spacing w:before="72" w:beforeLines="20"/>
        <w:ind w:left="420" w:hanging="420"/>
        <w:jc w:val="both"/>
        <w:outlineLvl w:val="0"/>
        <w:rPr>
          <w:rFonts w:ascii="仿宋" w:hAnsi="仿宋" w:eastAsia="仿宋"/>
          <w:color w:val="000000"/>
          <w:position w:val="-20"/>
          <w:lang w:eastAsia="zh-CN"/>
        </w:rPr>
      </w:pPr>
      <w:r>
        <w:rPr>
          <w:rFonts w:ascii="仿宋" w:hAnsi="仿宋" w:eastAsia="仿宋"/>
          <w:color w:val="000000"/>
          <w:position w:val="-20"/>
          <w:lang w:eastAsia="zh-CN"/>
        </w:rPr>
        <w:t>教学内容不宜简单地填写第几章、第几节，应就教学内容本身做简单明了的概括；</w:t>
      </w:r>
    </w:p>
    <w:p w14:paraId="39037D93">
      <w:pPr>
        <w:tabs>
          <w:tab w:val="left" w:pos="3420"/>
          <w:tab w:val="left" w:pos="7560"/>
        </w:tabs>
        <w:spacing w:before="72" w:beforeLines="20"/>
        <w:ind w:left="420" w:hanging="420"/>
        <w:jc w:val="both"/>
        <w:outlineLvl w:val="0"/>
        <w:rPr>
          <w:rFonts w:ascii="仿宋" w:hAnsi="仿宋" w:eastAsia="仿宋"/>
          <w:color w:val="000000"/>
          <w:position w:val="-20"/>
          <w:lang w:eastAsia="zh-CN"/>
        </w:rPr>
      </w:pPr>
      <w:r>
        <w:rPr>
          <w:rFonts w:hint="eastAsia" w:ascii="仿宋" w:hAnsi="仿宋" w:eastAsia="仿宋"/>
          <w:color w:val="000000"/>
          <w:position w:val="-20"/>
          <w:lang w:eastAsia="zh-CN"/>
        </w:rPr>
        <w:t>教学</w:t>
      </w:r>
      <w:r>
        <w:rPr>
          <w:rFonts w:hint="eastAsia" w:ascii="仿宋" w:hAnsi="仿宋" w:eastAsia="仿宋"/>
          <w:color w:val="000000"/>
          <w:position w:val="-20"/>
        </w:rPr>
        <w:t>方式为讲课、实验、讨论</w:t>
      </w:r>
      <w:r>
        <w:rPr>
          <w:rFonts w:hint="eastAsia" w:ascii="仿宋" w:hAnsi="仿宋" w:eastAsia="仿宋"/>
          <w:color w:val="000000"/>
          <w:position w:val="-20"/>
          <w:lang w:eastAsia="zh-CN"/>
        </w:rPr>
        <w:t>课</w:t>
      </w:r>
      <w:r>
        <w:rPr>
          <w:rFonts w:hint="eastAsia" w:ascii="仿宋" w:hAnsi="仿宋" w:eastAsia="仿宋"/>
          <w:color w:val="000000"/>
          <w:position w:val="-20"/>
        </w:rPr>
        <w:t>、</w:t>
      </w:r>
      <w:r>
        <w:rPr>
          <w:rFonts w:hint="eastAsia" w:ascii="仿宋" w:hAnsi="仿宋" w:eastAsia="仿宋"/>
          <w:color w:val="000000"/>
          <w:position w:val="-20"/>
          <w:lang w:eastAsia="zh-CN"/>
        </w:rPr>
        <w:t>习题课、</w:t>
      </w:r>
      <w:r>
        <w:rPr>
          <w:rFonts w:hint="eastAsia" w:ascii="仿宋" w:hAnsi="仿宋" w:eastAsia="仿宋"/>
          <w:color w:val="000000"/>
          <w:position w:val="-20"/>
        </w:rPr>
        <w:t>参观、</w:t>
      </w:r>
      <w:r>
        <w:rPr>
          <w:rFonts w:ascii="仿宋" w:hAnsi="仿宋" w:eastAsia="仿宋"/>
          <w:color w:val="000000"/>
          <w:position w:val="-20"/>
        </w:rPr>
        <w:t>边讲边练</w:t>
      </w:r>
      <w:r>
        <w:rPr>
          <w:rFonts w:hint="eastAsia" w:ascii="仿宋" w:hAnsi="仿宋" w:eastAsia="仿宋"/>
          <w:color w:val="000000"/>
          <w:position w:val="-20"/>
        </w:rPr>
        <w:t>、</w:t>
      </w:r>
      <w:r>
        <w:rPr>
          <w:rFonts w:hint="eastAsia" w:ascii="仿宋" w:hAnsi="仿宋" w:eastAsia="仿宋"/>
          <w:color w:val="000000"/>
          <w:position w:val="-20"/>
          <w:lang w:eastAsia="zh-CN"/>
        </w:rPr>
        <w:t>汇报</w:t>
      </w:r>
      <w:r>
        <w:rPr>
          <w:rFonts w:hint="eastAsia" w:ascii="仿宋" w:hAnsi="仿宋" w:eastAsia="仿宋"/>
          <w:color w:val="000000"/>
          <w:position w:val="-20"/>
        </w:rPr>
        <w:t>、考核</w:t>
      </w:r>
      <w:r>
        <w:rPr>
          <w:rFonts w:hint="eastAsia" w:ascii="仿宋" w:hAnsi="仿宋" w:eastAsia="仿宋"/>
          <w:color w:val="000000"/>
          <w:position w:val="-20"/>
          <w:lang w:eastAsia="zh-CN"/>
        </w:rPr>
        <w:t>等；</w:t>
      </w:r>
    </w:p>
    <w:p w14:paraId="55F5308A">
      <w:pPr>
        <w:tabs>
          <w:tab w:val="left" w:pos="3420"/>
          <w:tab w:val="left" w:pos="7560"/>
        </w:tabs>
        <w:spacing w:before="72" w:beforeLines="20"/>
        <w:jc w:val="both"/>
        <w:outlineLvl w:val="0"/>
        <w:rPr>
          <w:rFonts w:ascii="仿宋" w:hAnsi="仿宋" w:eastAsia="仿宋"/>
          <w:color w:val="000000"/>
          <w:position w:val="-20"/>
          <w:lang w:eastAsia="zh-CN"/>
        </w:rPr>
      </w:pPr>
      <w:r>
        <w:rPr>
          <w:rFonts w:hint="eastAsia" w:ascii="仿宋" w:hAnsi="仿宋" w:eastAsia="仿宋"/>
          <w:color w:val="000000"/>
          <w:position w:val="-20"/>
          <w:lang w:eastAsia="zh-CN"/>
        </w:rPr>
        <w:t>评价方式为期末考试“1”及过程考核“X</w:t>
      </w:r>
      <w:r>
        <w:rPr>
          <w:rFonts w:ascii="仿宋" w:hAnsi="仿宋" w:eastAsia="仿宋"/>
          <w:color w:val="000000"/>
          <w:position w:val="-20"/>
          <w:lang w:eastAsia="zh-CN"/>
        </w:rPr>
        <w:t>”</w:t>
      </w:r>
      <w:r>
        <w:rPr>
          <w:rFonts w:hint="eastAsia" w:ascii="仿宋" w:hAnsi="仿宋" w:eastAsia="仿宋"/>
          <w:color w:val="000000"/>
          <w:position w:val="-20"/>
          <w:lang w:eastAsia="zh-CN"/>
        </w:rPr>
        <w:t>，其中“1”为教学大纲中规定的形式；“X”可由任课教师或课程组自行确定（同一门课程多位教师任课的须由课程组统一X的方式及比例</w:t>
      </w:r>
      <w:r>
        <w:rPr>
          <w:rFonts w:ascii="仿宋" w:hAnsi="仿宋" w:eastAsia="仿宋"/>
          <w:color w:val="000000"/>
          <w:position w:val="-20"/>
          <w:lang w:eastAsia="zh-CN"/>
        </w:rPr>
        <w:t>）</w:t>
      </w:r>
      <w:r>
        <w:rPr>
          <w:rFonts w:hint="eastAsia" w:ascii="仿宋" w:hAnsi="仿宋" w:eastAsia="仿宋"/>
          <w:color w:val="000000"/>
          <w:position w:val="-20"/>
          <w:lang w:eastAsia="zh-CN"/>
        </w:rPr>
        <w:t>。包括纸笔测验、课堂展示、阶段论文、调查（分析）报告、综合报告、读书笔记、小实验、小制作、小程序、小设计等，在表中相应的位置填入“1”和“X”的方式及成绩占比。</w:t>
      </w:r>
    </w:p>
    <w:p w14:paraId="3A540A8E">
      <w:pPr>
        <w:tabs>
          <w:tab w:val="left" w:pos="3210"/>
          <w:tab w:val="left" w:pos="7560"/>
        </w:tabs>
        <w:spacing w:before="72" w:beforeLines="20" w:line="360" w:lineRule="auto"/>
        <w:jc w:val="both"/>
        <w:outlineLvl w:val="0"/>
        <w:rPr>
          <w:rFonts w:ascii="仿宋" w:hAnsi="仿宋" w:eastAsia="仿宋"/>
          <w:color w:val="000000"/>
          <w:position w:val="-20"/>
          <w:lang w:eastAsia="zh-CN"/>
        </w:rPr>
      </w:pPr>
    </w:p>
    <w:p w14:paraId="4525BD0E">
      <w:pPr>
        <w:tabs>
          <w:tab w:val="left" w:pos="3210"/>
          <w:tab w:val="left" w:pos="7560"/>
        </w:tabs>
        <w:spacing w:before="72" w:beforeLines="20" w:line="360" w:lineRule="auto"/>
        <w:jc w:val="both"/>
        <w:outlineLvl w:val="0"/>
        <w:rPr>
          <w:rFonts w:hint="default" w:ascii="仿宋" w:hAnsi="仿宋" w:eastAsia="仿宋"/>
          <w:sz w:val="28"/>
          <w:szCs w:val="28"/>
          <w:lang w:val="en-US" w:eastAsia="zh-CN"/>
        </w:rPr>
      </w:pPr>
      <w:r>
        <w:rPr>
          <w:rFonts w:hint="eastAsia" w:ascii="仿宋" w:hAnsi="仿宋" w:eastAsia="仿宋"/>
          <w:color w:val="000000"/>
          <w:position w:val="-20"/>
          <w:sz w:val="28"/>
          <w:szCs w:val="28"/>
        </w:rPr>
        <w:t>任课教师：步社民</w:t>
      </w:r>
      <w:r>
        <w:rPr>
          <w:rFonts w:hint="eastAsia" w:ascii="仿宋" w:hAnsi="仿宋" w:eastAsia="仿宋"/>
          <w:color w:val="000000"/>
          <w:position w:val="-20"/>
          <w:sz w:val="28"/>
          <w:szCs w:val="28"/>
          <w:lang w:eastAsia="zh-CN"/>
        </w:rPr>
        <w:t xml:space="preserve">    系</w:t>
      </w:r>
      <w:r>
        <w:rPr>
          <w:rFonts w:hint="eastAsia" w:ascii="仿宋" w:hAnsi="仿宋" w:eastAsia="仿宋"/>
          <w:color w:val="000000"/>
          <w:position w:val="-20"/>
          <w:sz w:val="28"/>
          <w:szCs w:val="28"/>
        </w:rPr>
        <w:t>主任审核：步社民</w:t>
      </w:r>
      <w:r>
        <w:rPr>
          <w:rFonts w:hint="eastAsia"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rPr>
        <w:t xml:space="preserve"> 日期：</w:t>
      </w:r>
      <w:r>
        <w:rPr>
          <w:rFonts w:hint="eastAsia" w:ascii="仿宋" w:hAnsi="仿宋" w:eastAsia="仿宋"/>
          <w:color w:val="000000"/>
          <w:position w:val="-20"/>
          <w:sz w:val="28"/>
          <w:szCs w:val="28"/>
          <w:lang w:eastAsia="zh-CN"/>
        </w:rPr>
        <w:t>2</w:t>
      </w:r>
      <w:r>
        <w:rPr>
          <w:rFonts w:ascii="仿宋" w:hAnsi="仿宋" w:eastAsia="仿宋"/>
          <w:color w:val="000000"/>
          <w:position w:val="-20"/>
          <w:sz w:val="28"/>
          <w:szCs w:val="28"/>
          <w:lang w:eastAsia="zh-CN"/>
        </w:rPr>
        <w:t>0</w:t>
      </w:r>
      <w:r>
        <w:rPr>
          <w:rFonts w:hint="eastAsia" w:ascii="仿宋" w:hAnsi="仿宋" w:eastAsia="仿宋"/>
          <w:color w:val="000000"/>
          <w:position w:val="-20"/>
          <w:sz w:val="28"/>
          <w:szCs w:val="28"/>
          <w:lang w:val="en-US" w:eastAsia="zh-CN"/>
        </w:rPr>
        <w:t>22-</w:t>
      </w:r>
      <w:r>
        <w:rPr>
          <w:rFonts w:ascii="仿宋" w:hAnsi="仿宋" w:eastAsia="仿宋"/>
          <w:color w:val="000000"/>
          <w:position w:val="-20"/>
          <w:sz w:val="28"/>
          <w:szCs w:val="28"/>
          <w:lang w:eastAsia="zh-CN"/>
        </w:rPr>
        <w:t>9</w:t>
      </w:r>
      <w:r>
        <w:rPr>
          <w:rFonts w:hint="eastAsia" w:ascii="仿宋" w:hAnsi="仿宋" w:eastAsia="仿宋"/>
          <w:color w:val="000000"/>
          <w:position w:val="-20"/>
          <w:sz w:val="28"/>
          <w:szCs w:val="28"/>
          <w:lang w:val="en-US" w:eastAsia="zh-CN"/>
        </w:rPr>
        <w:t>-1</w:t>
      </w:r>
      <w:bookmarkStart w:id="0" w:name="_GoBack"/>
      <w:bookmarkEnd w:id="0"/>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AFF" w:usb1="C000605B"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華康儷中黑">
    <w:altName w:val="汉仪中黑KW"/>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華康粗圓體">
    <w:altName w:val="苹方-简"/>
    <w:panose1 w:val="00000000000000000000"/>
    <w:charset w:val="88"/>
    <w:family w:val="swiss"/>
    <w:pitch w:val="default"/>
    <w:sig w:usb0="00000000" w:usb1="00000000" w:usb2="00000016" w:usb3="00000000" w:csb0="00100000" w:csb1="00000000"/>
  </w:font>
  <w:font w:name="DotumChe">
    <w:altName w:val="Apple SD Gothic Neo"/>
    <w:panose1 w:val="00000000000000000000"/>
    <w:charset w:val="81"/>
    <w:family w:val="modern"/>
    <w:pitch w:val="default"/>
    <w:sig w:usb0="00000000" w:usb1="00000000" w:usb2="00000030" w:usb3="00000000" w:csb0="000800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F507">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14:paraId="36890521">
    <w:pPr>
      <w:snapToGrid w:val="0"/>
      <w:spacing w:before="120" w:beforeLines="50" w:after="12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15A5">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05943562">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C5F0">
    <w:pPr>
      <w:pStyle w:val="3"/>
      <w:spacing w:before="72" w:beforeLines="30"/>
      <w:ind w:firstLine="800" w:firstLineChars="400"/>
      <w:rPr>
        <w:rFonts w:ascii="華康儷中黑" w:eastAsia="華康儷中黑"/>
        <w:sz w:val="32"/>
        <w:szCs w:val="32"/>
      </w:rPr>
    </w:pPr>
    <w:r>
      <mc:AlternateContent>
        <mc:Choice Requires="wps">
          <w:drawing>
            <wp:anchor distT="0" distB="0" distL="114300" distR="114300" simplePos="0" relativeHeight="251660288"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00EB9845">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2.5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eS&#10;Km/TAAAACQEAAA8AAAAAAAAAAQAgAAAAIgAAAGRycy9kb3ducmV2LnhtbFBLAQIUABQAAAAIAIdO&#10;4kA6neHrYQIAAKcEAAAOAAAAAAAAAAEAIAAAACIBAABkcnMvZTJvRG9jLnhtbFBLBQYAAAAABgAG&#10;AFkBAAD1BQAAAAA=&#10;">
              <v:fill on="t" focussize="0,0"/>
              <v:stroke on="f" weight="0.5pt"/>
              <v:imagedata o:title=""/>
              <o:lock v:ext="edit" aspectratio="f"/>
              <v:textbox>
                <w:txbxContent>
                  <w:p w14:paraId="00EB9845">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7E4C4">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4YjVlMzE1M2RkMWY3NzQ2NDc0OGI3YWViM2UifQ=="/>
  </w:docVars>
  <w:rsids>
    <w:rsidRoot w:val="00475657"/>
    <w:rsid w:val="00001A9A"/>
    <w:rsid w:val="000138B2"/>
    <w:rsid w:val="00021B6D"/>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B1B60"/>
    <w:rsid w:val="001B6F0E"/>
    <w:rsid w:val="001B7389"/>
    <w:rsid w:val="001C2E51"/>
    <w:rsid w:val="001C31F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33384"/>
    <w:rsid w:val="00233529"/>
    <w:rsid w:val="00240B53"/>
    <w:rsid w:val="002638CF"/>
    <w:rsid w:val="00280A20"/>
    <w:rsid w:val="00283A9D"/>
    <w:rsid w:val="00287142"/>
    <w:rsid w:val="00290A4F"/>
    <w:rsid w:val="00290EB6"/>
    <w:rsid w:val="002A0689"/>
    <w:rsid w:val="002B23AD"/>
    <w:rsid w:val="002C578A"/>
    <w:rsid w:val="002D21B9"/>
    <w:rsid w:val="002E0E77"/>
    <w:rsid w:val="002E39E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2FDD"/>
    <w:rsid w:val="00387718"/>
    <w:rsid w:val="00392BEC"/>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C78A3"/>
    <w:rsid w:val="004D07ED"/>
    <w:rsid w:val="004E412A"/>
    <w:rsid w:val="004E68E7"/>
    <w:rsid w:val="004F0DAB"/>
    <w:rsid w:val="005003D0"/>
    <w:rsid w:val="00500511"/>
    <w:rsid w:val="00503BD4"/>
    <w:rsid w:val="005041F9"/>
    <w:rsid w:val="005051C3"/>
    <w:rsid w:val="00505F1C"/>
    <w:rsid w:val="00507C41"/>
    <w:rsid w:val="00512339"/>
    <w:rsid w:val="0051562E"/>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B6225"/>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0E8D"/>
    <w:rsid w:val="009C2C3A"/>
    <w:rsid w:val="009C2CC7"/>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529F"/>
    <w:rsid w:val="00B7624C"/>
    <w:rsid w:val="00B767B7"/>
    <w:rsid w:val="00BA5396"/>
    <w:rsid w:val="00BB00B3"/>
    <w:rsid w:val="00BC09B7"/>
    <w:rsid w:val="00BC622E"/>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561E"/>
    <w:rsid w:val="00E91DA0"/>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313C"/>
    <w:rsid w:val="00FE319F"/>
    <w:rsid w:val="00FE6709"/>
    <w:rsid w:val="00FF2D60"/>
    <w:rsid w:val="0250298D"/>
    <w:rsid w:val="0B02141F"/>
    <w:rsid w:val="0DB76A4A"/>
    <w:rsid w:val="199D2E85"/>
    <w:rsid w:val="1B9B294B"/>
    <w:rsid w:val="2E59298A"/>
    <w:rsid w:val="37E50B00"/>
    <w:rsid w:val="49DF08B3"/>
    <w:rsid w:val="65310993"/>
    <w:rsid w:val="6E256335"/>
    <w:rsid w:val="700912C5"/>
    <w:rsid w:val="74F62C86"/>
    <w:rsid w:val="896EA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3</Pages>
  <Words>267</Words>
  <Characters>1526</Characters>
  <Lines>12</Lines>
  <Paragraphs>3</Paragraphs>
  <TotalTime>50</TotalTime>
  <ScaleCrop>false</ScaleCrop>
  <LinksUpToDate>false</LinksUpToDate>
  <CharactersWithSpaces>1790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2015-08-27T12:51:00Z</dcterms:created>
  <dc:creator>*****</dc:creator>
  <cp:lastModifiedBy>leee</cp:lastModifiedBy>
  <cp:lastPrinted>2015-03-18T11:45:00Z</cp:lastPrinted>
  <dcterms:modified xsi:type="dcterms:W3CDTF">2024-10-11T16:08:36Z</dcterms:modified>
  <dc:title>上海建桥学院教学进度计划表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455B4E8398BB854E04DD0867B2D1472B_42</vt:lpwstr>
  </property>
</Properties>
</file>