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left"/>
        <w:widowControl/>
        <w:rPr>
          <w:rFonts w:ascii="KaiTi" w:hAnsi="KaiTi" w:eastAsia="KaiTi" w:cs="宋体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page">
                  <wp:posOffset>530225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o" val="SMDATA_11_WTwBZBMAAAAlAAAAE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AAAAAAAAAAAAAAAAAAAAAAAAAQwMAAAAAAAAAAAAAJwIAADYQAAC6AQAAAAAAAEMDAAAnAgAA"/>
                          </a:ext>
                        </a:extLst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文本框1" o:spid="_x0000_s1026" type="#_x0000_t202" style="position:absolute;margin-left:41.75pt;margin-top:27.55pt;mso-position-horizontal-relative:page;mso-position-vertical-relative:page;width:207.50pt;height:22.10pt;mso-wrap-distance-left:9.00pt;mso-wrap-distance-top:0.00pt;mso-wrap-distance-right:9.00pt;mso-wrap-distance-bottom:0.00pt;mso-wrap-style:square" stroked="f" fillcolor="#ffffff" v:ext="SMDATA_11_WTwBZBMAAAAlAAAAE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AAAAAAAAAAAAAAAAAAAAAAAAAQwMAAAAAAAAAAAAAJwIAADYQAAC6AQAAAAAAAEMDAAAnAgAA" o:insetmode="custom">
                <v:fill color2="#000000" type="solid" angle="180"/>
                <w10:wrap type="none" anchorx="page" anchory="page"/>
                <v:textbox inset="7.2pt,3.6pt,7.2pt,3.6pt">
                  <w:txbxContent>
                    <w:p>
                      <w:pPr>
                        <w:spacing/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pacing w:val="20"/>
          <w:sz w:val="24"/>
          <w:szCs w:val="24"/>
        </w:rPr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【围棋启蒙教学】</w:t>
      </w:r>
      <w:r>
        <w:rPr>
          <w:b/>
          <w:sz w:val="28"/>
          <w:szCs w:val="30"/>
        </w:rPr>
      </w:r>
    </w:p>
    <w:p>
      <w:pPr>
        <w:spacing/>
        <w:jc w:val="center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5F5F5"/>
        <w:rPr>
          <w:rFonts w:ascii="Arial" w:hAnsi="Arial" w:cs="Arial"/>
          <w:color w:val="888888"/>
          <w:sz w:val="20"/>
          <w:szCs w:val="20"/>
        </w:rPr>
      </w:pPr>
      <w:r>
        <w:rPr>
          <w:b/>
          <w:sz w:val="28"/>
          <w:szCs w:val="30"/>
        </w:rPr>
        <w:t>【The Surrounding Game for Kids】</w:t>
      </w:r>
      <w:r/>
      <w:bookmarkStart w:id="0" w:name="a2"/>
      <w:bookmarkEnd w:id="0"/>
      <w:r/>
      <w:r>
        <w:rPr>
          <w:rFonts w:ascii="Arial" w:hAnsi="Arial" w:cs="Arial"/>
          <w:color w:val="888888"/>
          <w:sz w:val="20"/>
          <w:szCs w:val="20"/>
        </w:rPr>
      </w:r>
    </w:p>
    <w:p>
      <w:pPr>
        <w:ind w:firstLine="360"/>
        <w:spacing w:before="156" w:after="156" w:line="288" w:lineRule="auto"/>
        <w:rPr>
          <w:b/>
          <w:color w:val="008080"/>
          <w:sz w:val="30"/>
          <w:szCs w:val="30"/>
        </w:rPr>
      </w:pPr>
      <w:r>
        <w:rPr>
          <w:rFonts w:ascii="SimHei" w:hAnsi="SimHei" w:eastAsia="SimHei"/>
          <w:sz w:val="24"/>
        </w:rPr>
        <w:t>一</w:t>
      </w:r>
      <w:r>
        <w:rPr>
          <w:rFonts w:ascii="SimHei" w:hAnsi="SimHei" w:eastAsia="SimHei" w:hint="eastAsia"/>
          <w:sz w:val="24"/>
        </w:rPr>
        <w:t>、</w:t>
      </w:r>
      <w:r>
        <w:rPr>
          <w:rFonts w:ascii="SimHei" w:hAnsi="SimHei" w:eastAsia="SimHei"/>
          <w:sz w:val="24"/>
        </w:rPr>
        <w:t>基本信息</w:t>
      </w:r>
      <w:r>
        <w:rPr>
          <w:rFonts w:ascii="SimHei" w:hAnsi="SimHei" w:eastAsia="SimHei" w:hint="eastAsia"/>
          <w:sz w:val="24"/>
        </w:rPr>
        <w:t xml:space="preserve"> </w:t>
      </w:r>
      <w:r>
        <w:rPr>
          <w:b/>
          <w:color w:val="008080"/>
          <w:sz w:val="30"/>
          <w:szCs w:val="30"/>
        </w:rPr>
      </w:r>
    </w:p>
    <w:p>
      <w:pPr>
        <w:ind w:firstLine="394"/>
        <w:spacing w:line="288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>
        <w:rPr>
          <w:sz w:val="20"/>
          <w:szCs w:val="20"/>
        </w:rPr>
        <w:t>【</w:t>
      </w:r>
      <w:r>
        <w:rPr>
          <w:sz w:val="20"/>
          <w:szCs w:val="20"/>
        </w:rPr>
        <w:t>2</w:t>
      </w:r>
      <w:r>
        <w:rPr>
          <w:sz w:val="20"/>
          <w:szCs w:val="20"/>
        </w:rPr>
        <w:t>135045</w:t>
      </w:r>
      <w:r>
        <w:rPr>
          <w:sz w:val="20"/>
          <w:szCs w:val="20"/>
        </w:rPr>
        <w:t>】</w:t>
      </w:r>
      <w:r>
        <w:rPr>
          <w:sz w:val="20"/>
          <w:szCs w:val="20"/>
        </w:rPr>
      </w:r>
    </w:p>
    <w:p>
      <w:pPr>
        <w:ind w:firstLine="394"/>
        <w:spacing w:line="288" w:lineRule="auto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>
        <w:rPr>
          <w:sz w:val="20"/>
          <w:szCs w:val="20"/>
        </w:rPr>
        <w:t>1学分</w:t>
      </w:r>
      <w:r>
        <w:rPr>
          <w:sz w:val="20"/>
          <w:szCs w:val="20"/>
        </w:rPr>
        <w:t>】</w:t>
      </w:r>
      <w:r>
        <w:rPr>
          <w:szCs w:val="21"/>
        </w:rPr>
      </w:r>
    </w:p>
    <w:p>
      <w:pPr>
        <w:ind w:firstLine="394"/>
        <w:spacing w:line="288" w:lineRule="auto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>
        <w:rPr>
          <w:sz w:val="20"/>
          <w:szCs w:val="20"/>
        </w:rPr>
        <w:t>英语专业、学前教育专业、外语专业</w:t>
      </w:r>
      <w:r>
        <w:rPr>
          <w:sz w:val="20"/>
          <w:szCs w:val="20"/>
        </w:rPr>
        <w:t>】</w:t>
      </w:r>
      <w:r>
        <w:rPr>
          <w:szCs w:val="21"/>
        </w:rPr>
      </w:r>
    </w:p>
    <w:p>
      <w:pPr>
        <w:ind w:firstLine="394"/>
        <w:spacing w:line="288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>
        <w:rPr>
          <w:sz w:val="20"/>
          <w:szCs w:val="20"/>
        </w:rPr>
        <w:t>选</w:t>
      </w:r>
      <w:r>
        <w:rPr>
          <w:sz w:val="20"/>
          <w:szCs w:val="20"/>
        </w:rPr>
        <w:t>修课</w:t>
      </w:r>
      <w:r>
        <w:rPr>
          <w:sz w:val="20"/>
          <w:szCs w:val="20"/>
        </w:rPr>
        <w:t>】</w:t>
      </w:r>
      <w:r>
        <w:rPr>
          <w:sz w:val="20"/>
          <w:szCs w:val="20"/>
        </w:rPr>
      </w:r>
    </w:p>
    <w:p>
      <w:pPr>
        <w:ind w:firstLine="394"/>
        <w:spacing w:line="288" w:lineRule="auto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b/>
          <w:bCs/>
          <w:sz w:val="20"/>
          <w:szCs w:val="20"/>
        </w:rPr>
        <w:t>围棋系</w:t>
      </w:r>
      <w:r>
        <w:rPr>
          <w:b/>
          <w:bCs/>
          <w:szCs w:val="21"/>
        </w:rPr>
      </w:r>
    </w:p>
    <w:p>
      <w:pPr>
        <w:ind w:firstLine="394"/>
        <w:spacing w:line="288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使用教材：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教材【</w:t>
      </w:r>
      <w:r>
        <w:rPr>
          <w:sz w:val="20"/>
          <w:szCs w:val="20"/>
        </w:rPr>
        <w:t xml:space="preserve">How to Play Go  </w:t>
      </w:r>
      <w:r>
        <w:rPr>
          <w:sz w:val="20"/>
          <w:szCs w:val="20"/>
        </w:rPr>
        <w:t>作者：徐兆熙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出版社：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北京体育大学音像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版本信息：</w:t>
      </w:r>
      <w:r>
        <w:rPr>
          <w:sz w:val="20"/>
          <w:szCs w:val="20"/>
        </w:rPr>
        <w:t>2008</w:t>
      </w:r>
      <w:r>
        <w:rPr>
          <w:sz w:val="20"/>
          <w:szCs w:val="20"/>
        </w:rPr>
        <w:t>年】</w:t>
      </w:r>
      <w:r>
        <w:rPr>
          <w:sz w:val="20"/>
          <w:szCs w:val="20"/>
        </w:rPr>
      </w:r>
    </w:p>
    <w:p>
      <w:pPr>
        <w:ind w:firstLine="394"/>
        <w:spacing w:line="288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参考书目</w:t>
      </w:r>
      <w:r>
        <w:rPr>
          <w:b/>
          <w:bCs/>
          <w:sz w:val="20"/>
          <w:szCs w:val="20"/>
        </w:rPr>
        <w:t>：</w:t>
      </w:r>
      <w:r>
        <w:rPr>
          <w:sz w:val="20"/>
          <w:szCs w:val="20"/>
        </w:rPr>
        <w:t>【《围棋进阶读本》作者：黄焰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青岛出版社</w:t>
      </w:r>
      <w:r>
        <w:rPr>
          <w:sz w:val="20"/>
          <w:szCs w:val="20"/>
        </w:rPr>
        <w:t xml:space="preserve"> 2011</w:t>
      </w:r>
      <w:r>
        <w:rPr>
          <w:sz w:val="20"/>
          <w:szCs w:val="20"/>
        </w:rPr>
        <w:t>年</w:t>
      </w:r>
      <w:r>
        <w:rPr>
          <w:sz w:val="20"/>
          <w:szCs w:val="20"/>
        </w:rPr>
        <w:t>7</w:t>
      </w:r>
      <w:r>
        <w:rPr>
          <w:sz w:val="20"/>
          <w:szCs w:val="20"/>
        </w:rPr>
        <w:t>月；《围棋教学习题册》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作者：胡晓苓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山西人民出版社</w:t>
      </w:r>
      <w:r>
        <w:rPr>
          <w:sz w:val="20"/>
          <w:szCs w:val="20"/>
        </w:rPr>
        <w:t>2011</w:t>
      </w:r>
      <w:r>
        <w:rPr>
          <w:sz w:val="20"/>
          <w:szCs w:val="20"/>
        </w:rPr>
        <w:t>年</w:t>
      </w:r>
      <w:r>
        <w:rPr>
          <w:sz w:val="20"/>
          <w:szCs w:val="20"/>
        </w:rPr>
        <w:t>7</w:t>
      </w:r>
      <w:r>
        <w:rPr>
          <w:sz w:val="20"/>
          <w:szCs w:val="20"/>
        </w:rPr>
        <w:t>月】</w:t>
      </w:r>
      <w:r>
        <w:rPr>
          <w:sz w:val="20"/>
          <w:szCs w:val="20"/>
        </w:rPr>
      </w:r>
    </w:p>
    <w:p>
      <w:pPr>
        <w:ind w:firstLine="394"/>
        <w:spacing w:line="288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先修课程：【无】</w:t>
      </w:r>
      <w:r>
        <w:rPr>
          <w:b/>
          <w:bCs/>
          <w:sz w:val="20"/>
          <w:szCs w:val="20"/>
        </w:rPr>
      </w:r>
    </w:p>
    <w:p>
      <w:pPr>
        <w:ind w:firstLine="348"/>
        <w:spacing w:before="156" w:after="156" w:line="288" w:lineRule="auto"/>
        <w:rPr>
          <w:b/>
          <w:sz w:val="24"/>
          <w:szCs w:val="20"/>
        </w:rPr>
      </w:pPr>
      <w:r>
        <w:rPr>
          <w:rFonts w:ascii="SimHei" w:hAnsi="SimHei" w:eastAsia="SimHei"/>
          <w:sz w:val="24"/>
        </w:rPr>
        <w:t>二</w:t>
      </w:r>
      <w:r>
        <w:rPr>
          <w:rFonts w:ascii="SimHei" w:hAnsi="SimHei" w:eastAsia="SimHei" w:hint="eastAsia"/>
          <w:sz w:val="24"/>
        </w:rPr>
        <w:t>、</w:t>
      </w:r>
      <w:r>
        <w:rPr>
          <w:rFonts w:ascii="SimHei" w:hAnsi="SimHei" w:eastAsia="SimHei"/>
          <w:sz w:val="24"/>
        </w:rPr>
        <w:t>课程简介</w:t>
      </w:r>
      <w:r>
        <w:rPr>
          <w:rFonts w:ascii="SimHei" w:hAnsi="SimHei" w:eastAsia="SimHei" w:hint="eastAsia"/>
          <w:sz w:val="24"/>
        </w:rPr>
        <w:t xml:space="preserve"> </w:t>
      </w:r>
      <w:r>
        <w:rPr>
          <w:b/>
          <w:sz w:val="24"/>
          <w:szCs w:val="20"/>
        </w:rPr>
      </w:r>
    </w:p>
    <w:p>
      <w:pPr>
        <w:ind w:firstLine="400"/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围棋起源于中国，是流传至今的、世界上最古老的益智游戏。它规则极其简单，但是变化极其复杂。它是一门易学难精的学问。古人称为“小数”，有许多成语与围棋有关，比如专心致志、举一反三、举棋不定等等。在中华传统文化中，围棋的黑白象征阴阳，蕴含了自然之道和许多人生哲理，它是优秀传统文化的典型代表之一。琴棋书画在古代，被认为是人们修身养性的基本方式，其中棋指围棋。围棋正在世界范围内流行，中华围棋文化走出去的时代要求需要有懂启蒙教育，又懂英语的围棋教师。因此我们开设该门课程，目的是带领大家初步体验这一古老而全新的游戏、增加一门教学技能，增强职业文化自信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</w:p>
    <w:p>
      <w:pPr>
        <w:ind w:firstLine="400"/>
        <w:spacing w:line="288" w:lineRule="auto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firstLine="240"/>
        <w:spacing w:before="156" w:after="156" w:line="288" w:lineRule="auto"/>
        <w:jc w:val="left"/>
        <w:widowControl/>
        <w:rPr>
          <w:rFonts w:ascii="SimHei" w:hAnsi="SimHei" w:eastAsia="SimHei"/>
          <w:sz w:val="24"/>
        </w:rPr>
      </w:pPr>
      <w:r>
        <w:rPr>
          <w:rFonts w:ascii="SimHei" w:hAnsi="SimHei" w:eastAsia="SimHei"/>
          <w:sz w:val="24"/>
        </w:rPr>
        <w:t>三</w:t>
      </w:r>
      <w:r>
        <w:rPr>
          <w:rFonts w:ascii="SimHei" w:hAnsi="SimHei" w:eastAsia="SimHei" w:hint="eastAsia"/>
          <w:sz w:val="24"/>
        </w:rPr>
        <w:t>、</w:t>
      </w:r>
      <w:r>
        <w:rPr>
          <w:rFonts w:ascii="SimHei" w:hAnsi="SimHei" w:eastAsia="SimHei"/>
          <w:sz w:val="24"/>
        </w:rPr>
        <w:t>选课建议</w:t>
      </w:r>
      <w:r>
        <w:rPr>
          <w:rFonts w:ascii="SimHei" w:hAnsi="SimHei" w:eastAsia="SimHei" w:hint="eastAsia"/>
          <w:sz w:val="24"/>
        </w:rPr>
        <w:t xml:space="preserve"> </w:t>
      </w:r>
      <w:r>
        <w:rPr>
          <w:rFonts w:ascii="SimHei" w:hAnsi="SimHei" w:eastAsia="SimHei"/>
          <w:sz w:val="24"/>
        </w:rPr>
      </w:r>
    </w:p>
    <w:p>
      <w:pPr>
        <w:ind w:left="210" w:firstLine="100"/>
        <w:spacing w:before="156" w:after="156" w:line="288" w:lineRule="auto"/>
        <w:jc w:val="left"/>
        <w:widowControl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围棋有易学难精，充满智慧的特点，即能娱乐，又可提高素质，锻炼智力，是幼儿园大班孩子十分喜欢的游戏项目之一。围棋文化走出去的时代要求，需要大量即懂围棋启蒙教学，又懂英语的人才。中宣部，国家体育总局、中国围棋协会等于</w:t>
      </w:r>
      <w:r>
        <w:rPr>
          <w:sz w:val="20"/>
          <w:szCs w:val="20"/>
        </w:rPr>
        <w:t>2020</w:t>
      </w:r>
      <w:r>
        <w:rPr>
          <w:sz w:val="20"/>
          <w:szCs w:val="20"/>
        </w:rPr>
        <w:t>年</w:t>
      </w:r>
      <w:r>
        <w:rPr>
          <w:sz w:val="20"/>
          <w:szCs w:val="20"/>
        </w:rPr>
        <w:t>11</w:t>
      </w:r>
      <w:r>
        <w:rPr>
          <w:sz w:val="20"/>
          <w:szCs w:val="20"/>
        </w:rPr>
        <w:t>月专门开展《中国围棋文化走出去工作会议》，部署研究各项战略和项目。掌握好用英语教围棋的技能，可以广泛结识世界各地的棋友和小朋友。</w:t>
      </w:r>
      <w:r>
        <w:rPr>
          <w:sz w:val="20"/>
          <w:szCs w:val="20"/>
        </w:rPr>
      </w:r>
    </w:p>
    <w:p>
      <w:pPr>
        <w:ind w:firstLine="360"/>
        <w:spacing w:before="156" w:after="156" w:line="288" w:lineRule="auto"/>
        <w:jc w:val="left"/>
        <w:widowControl/>
        <w:rPr>
          <w:rFonts w:ascii="SimHei" w:hAnsi="SimHei" w:eastAsia="SimHei"/>
          <w:sz w:val="24"/>
        </w:rPr>
      </w:pPr>
      <w:r>
        <w:rPr>
          <w:rFonts w:ascii="SimHei" w:hAnsi="SimHei" w:eastAsia="SimHei"/>
          <w:sz w:val="24"/>
        </w:rPr>
        <w:t>三</w:t>
      </w:r>
      <w:r>
        <w:rPr>
          <w:rFonts w:ascii="SimHei" w:hAnsi="SimHei" w:eastAsia="SimHei" w:hint="eastAsia"/>
          <w:sz w:val="24"/>
        </w:rPr>
        <w:t>、</w:t>
      </w:r>
      <w:r>
        <w:rPr>
          <w:rFonts w:ascii="SimHei" w:hAnsi="SimHei" w:eastAsia="SimHei"/>
          <w:sz w:val="24"/>
        </w:rPr>
        <w:t>选课建议（必填项）</w:t>
      </w:r>
      <w:r>
        <w:rPr>
          <w:rFonts w:ascii="SimHei" w:hAnsi="SimHei" w:eastAsia="SimHei"/>
          <w:sz w:val="24"/>
        </w:rPr>
      </w:r>
    </w:p>
    <w:p>
      <w:pPr>
        <w:ind w:left="210" w:firstLine="100"/>
        <w:spacing w:before="156" w:after="156" w:line="288" w:lineRule="auto"/>
        <w:jc w:val="left"/>
        <w:widowControl/>
      </w:pPr>
      <w:r>
        <w:rPr>
          <w:sz w:val="20"/>
          <w:szCs w:val="20"/>
        </w:rPr>
        <w:t>该课程要求有较高的英语学习兴趣。围棋文化走出去的时代要求，需要大量即懂围棋启蒙教学，又懂英语的人才。中宣部，国家体育总局、中国围棋协会等于2020年11月专门开展《中国围棋文化走出去工作会议》，部署研究各项战略和项目。掌握好用英语教围棋的技能，可以广泛结识世界各地的棋友和小朋友。</w:t>
      </w:r>
      <w:r/>
    </w:p>
    <w:p>
      <w:pPr>
        <w:ind w:firstLine="360"/>
        <w:spacing w:before="156" w:after="156" w:line="288" w:lineRule="auto"/>
        <w:jc w:val="left"/>
        <w:widowControl/>
        <w:rPr>
          <w:rFonts w:ascii="SimHei" w:hAnsi="SimHei" w:eastAsia="SimHei"/>
          <w:sz w:val="24"/>
        </w:rPr>
      </w:pPr>
      <w:r>
        <w:rPr>
          <w:rFonts w:ascii="SimHei" w:hAnsi="SimHei" w:eastAsia="SimHei" w:hint="eastAsia"/>
          <w:sz w:val="24"/>
        </w:rPr>
        <w:t>四、</w:t>
      </w:r>
      <w:r>
        <w:rPr>
          <w:rFonts w:ascii="SimHei" w:hAnsi="SimHei" w:eastAsia="SimHei"/>
          <w:sz w:val="24"/>
        </w:rPr>
        <w:t>课程</w:t>
      </w:r>
      <w:r>
        <w:rPr>
          <w:rFonts w:ascii="SimHei" w:hAnsi="SimHei" w:eastAsia="SimHei" w:hint="eastAsia"/>
          <w:sz w:val="24"/>
        </w:rPr>
        <w:t>目标/课程预期学习成果</w:t>
      </w:r>
      <w:r>
        <w:rPr>
          <w:rFonts w:ascii="SimHei" w:hAnsi="SimHei" w:eastAsia="SimHei"/>
          <w:sz w:val="24"/>
        </w:rPr>
        <w:t>（必填项）（</w:t>
      </w:r>
      <w:r>
        <w:rPr>
          <w:rFonts w:ascii="SimHei" w:hAnsi="SimHei" w:eastAsia="SimHei" w:hint="eastAsia"/>
          <w:sz w:val="24"/>
        </w:rPr>
        <w:t>预期学习成果</w:t>
      </w:r>
      <w:r>
        <w:rPr>
          <w:rFonts w:ascii="SimHei" w:hAnsi="SimHei" w:eastAsia="SimHei"/>
          <w:sz w:val="24"/>
        </w:rPr>
        <w:t>要可测量/能够证明）</w:t>
      </w:r>
      <w:r>
        <w:rPr>
          <w:rFonts w:ascii="SimHei" w:hAnsi="SimHei" w:eastAsia="SimHei"/>
          <w:sz w:val="24"/>
        </w:rPr>
      </w:r>
    </w:p>
    <w:p>
      <w:pPr>
        <w:ind w:firstLine="500"/>
        <w:spacing w:line="360" w:lineRule="auto"/>
        <w:rPr>
          <w:color w:val="ff0000"/>
          <w:sz w:val="20"/>
          <w:szCs w:val="20"/>
        </w:rPr>
      </w:pPr>
      <w:r>
        <w:rPr>
          <w:bCs/>
          <w:sz w:val="20"/>
          <w:szCs w:val="20"/>
        </w:rPr>
        <w:t>课程预期学习成果必须写到指标点，只写三级编码即可。“课程目标”这列要写清楚细化的预期学习成果，撰写时必须用适当的行为动词引导。</w:t>
      </w:r>
      <w:r>
        <w:rPr>
          <w:color w:val="ff0000"/>
          <w:sz w:val="20"/>
          <w:szCs w:val="20"/>
        </w:rPr>
      </w:r>
    </w:p>
    <w:p>
      <w:pPr>
        <w:spacing w:line="288" w:lineRule="auto"/>
        <w:rPr>
          <w:rFonts w:ascii="SimHei" w:hAnsi="SimHei" w:eastAsia="SimHe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page">
                  <wp:posOffset>1373505</wp:posOffset>
                </wp:positionH>
                <wp:positionV relativeFrom="paragraph">
                  <wp:posOffset>96520</wp:posOffset>
                </wp:positionV>
                <wp:extent cx="4867910" cy="2931160"/>
                <wp:effectExtent l="0" t="0" r="0" b="0"/>
                <wp:wrapSquare wrapText="bothSides"/>
                <wp:docPr id="2" name="文本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o" val="SMDATA_11_WTwBZB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FQAAAACiAAAAAAAAAAAAAAAAAAAAAAAAcwgAAAAAAAACAAAAmAAAAPIdAAAIEgAAAQAAAHMIAAA4BgAA"/>
                          </a:ext>
                        </a:extLst>
                      </wps:cNvSpPr>
                      <wps:spPr>
                        <a:xfrm>
                          <a:off x="0" y="0"/>
                          <a:ext cx="4867910" cy="29311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655" w:type="dxa"/>
                            </w:tblPr>
                            <w:tblGrid>
                              <w:gridCol w:w="535"/>
                              <w:gridCol w:w="1175"/>
                              <w:gridCol w:w="2470"/>
                              <w:gridCol w:w="2199"/>
                              <w:gridCol w:w="1276"/>
                            </w:tblGrid>
                            <w:tr>
                              <w:trPr>
                                <w:trHeight w:val="0" w:hRule="auto"/>
                              </w:trPr>
                              <w:tc>
                                <w:tcPr>
                                  <w:tcW w:w="53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序号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课程预期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学习成果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课程目标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（细化的预期学习成果）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教与学方式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评价方式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0" w:hRule="auto"/>
                              </w:trPr>
                              <w:tc>
                                <w:tcPr>
                                  <w:tcW w:w="535" w:type="dxa"/>
                                  <w:vMerge w:val="restart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FangSong" w:hAnsi="FangSong" w:eastAsia="FangSong" w:cs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宋体" w:hint="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FangSong" w:hAnsi="FangSong" w:eastAsia="FangSong" w:cs="宋体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Merge w:val="restart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FangSong" w:hAnsi="FangSong" w:eastAsia="FangSong" w:cs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宋体" w:hint="eastAsia"/>
                                      <w:sz w:val="24"/>
                                    </w:rPr>
                                    <w:t>LO4</w:t>
                                  </w:r>
                                  <w:r>
                                    <w:rPr>
                                      <w:rFonts w:ascii="FangSong" w:hAnsi="FangSong" w:eastAsia="FangSong" w:cs="宋体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288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1.掌握围棋的规则，了解围棋的起源和下法</w:t>
                                  </w:r>
                                  <w:r>
                                    <w:rPr>
                                      <w:sz w:val="20"/>
                                    </w:rPr>
                                    <w:t>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现场演示及</w:t>
                                  </w:r>
                                  <w:r>
                                    <w:rPr>
                                      <w:sz w:val="20"/>
                                    </w:rPr>
                                    <w:t>课堂讲授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作业：围棋入门教学设计1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0" w:hRule="auto"/>
                              </w:trPr>
                              <w:tc>
                                <w:tcPr>
                                  <w:tcW w:w="535" w:type="dxa"/>
                                  <w:vMerge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175" w:type="dxa"/>
                                  <w:vMerge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2.了解棋子的价值和不同位置的差别，了解围棋的生存条件与围地的基本方法。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分组对弈练习和讲解。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课堂展示1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0" w:hRule="auto"/>
                              </w:trPr>
                              <w:tc>
                                <w:tcPr>
                                  <w:tcW w:w="535" w:type="dxa"/>
                                  <w:vMerge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175" w:type="dxa"/>
                                  <w:vMerge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widowControl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3.基本棋道和礼仪，让孩子尊重对手，懂得行棋的次序和方向。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围棋礼仪展示，课堂试讲练习。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课堂展示2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0" w:hRule="auto"/>
                              </w:trPr>
                              <w:tc>
                                <w:tcPr>
                                  <w:tcW w:w="535" w:type="dxa"/>
                                  <w:vMerge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175" w:type="dxa"/>
                                  <w:vMerge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7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FangSong" w:hAnsi="FangSong" w:eastAsia="FangSong" w:cs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宋体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288" w:lineRule="auto"/>
                                    <w:jc w:val="center"/>
                                    <w:rPr>
                                      <w:rFonts w:ascii="SimHei" w:hAnsi="SimHei" w:eastAsia="SimHe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imHei" w:hAnsi="SimHei" w:eastAsia="SimHei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288" w:lineRule="auto"/>
                                    <w:jc w:val="center"/>
                                    <w:rPr>
                                      <w:rFonts w:ascii="SimHei" w:hAnsi="SimHei" w:eastAsia="SimHe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imHei" w:hAnsi="SimHei" w:eastAsia="SimHei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0" w:hRule="auto"/>
                              </w:trPr>
                              <w:tc>
                                <w:tcPr>
                                  <w:tcW w:w="535" w:type="dxa"/>
                                  <w:vMerge w:val="restart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FangSong" w:hAnsi="FangSong" w:eastAsia="FangSong" w:cs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宋体" w:hint="eastAsia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FangSong" w:hAnsi="FangSong" w:eastAsia="FangSong" w:cs="宋体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Merge w:val="restart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FangSong" w:hAnsi="FangSong" w:eastAsia="FangSong" w:cs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宋体" w:hint="eastAsia"/>
                                      <w:sz w:val="24"/>
                                    </w:rPr>
                                    <w:t>LO8</w:t>
                                  </w:r>
                                  <w:r>
                                    <w:rPr>
                                      <w:rFonts w:ascii="FangSong" w:hAnsi="FangSong" w:eastAsia="FangSong" w:cs="宋体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widowControl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1.了解世界围棋传播简史和经典棋局回顾，培养反思意识和国际视野。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经典棋局赏析，小组复盘交流。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作业：围棋入门教学设计2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0" w:hRule="auto"/>
                              </w:trPr>
                              <w:tc>
                                <w:tcPr>
                                  <w:tcW w:w="535" w:type="dxa"/>
                                  <w:vMerge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175" w:type="dxa"/>
                                  <w:vMerge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4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widowControl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2.掌握围棋英语术语。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分析棋局和展示形势判断的方法，运用英语讲解围棋的能力。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课堂展示3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spcFirstLastPara="1" vertOverflow="clip" horzOverflow="clip" wrap="none" lIns="0" tIns="0" rIns="6985" bIns="6985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2" o:spid="_x0000_s1027" type="#_x0000_t202" style="position:absolute;margin-left:108.15pt;margin-top:7.60pt;mso-position-horizontal-relative:page;width:383.30pt;height:230.80pt;mso-wrap-distance-left:9.00pt;mso-wrap-distance-top:0.00pt;mso-wrap-distance-right:9.00pt;mso-wrap-distance-bottom:0.00pt;mso-wrap-style:none" stroked="f" filled="f" v:ext="SMDATA_11_WTwBZB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FQAAAACiAAAAAAAAAAAAAAAAAAAAAAAAcwgAAAAAAAACAAAAmAAAAPIdAAAIEgAAAQAAAHMIAAA4BgAA" o:insetmode="custom">
                <w10:wrap type="square" anchorx="page" anchory="text"/>
                <v:textbox style="mso-fit-shape-to-text:t" inset="0.0pt,0.0pt,0.6pt,0.6pt">
                  <w:txbxContent>
                    <w:tbl>
                      <w:tblPr>
                        <w:tblW w:w="7655" w:type="dxa"/>
                      </w:tblPr>
                      <w:tblGrid>
                        <w:gridCol w:w="535"/>
                        <w:gridCol w:w="1175"/>
                        <w:gridCol w:w="2470"/>
                        <w:gridCol w:w="2199"/>
                        <w:gridCol w:w="1276"/>
                      </w:tblGrid>
                      <w:tr>
                        <w:trPr>
                          <w:trHeight w:val="0" w:hRule="auto"/>
                        </w:trPr>
                        <w:tc>
                          <w:tcPr>
                            <w:tcW w:w="53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序号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17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课程预期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学习成果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4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课程目标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（细化的预期学习成果）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199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教与学方式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评价方式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0" w:hRule="auto"/>
                        </w:trPr>
                        <w:tc>
                          <w:tcPr>
                            <w:tcW w:w="535" w:type="dxa"/>
                            <w:vMerge w:val="restart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rFonts w:ascii="FangSong" w:hAnsi="FangSong" w:eastAsia="FangSong" w:cs="宋体"/>
                                <w:sz w:val="24"/>
                              </w:rPr>
                            </w:pPr>
                            <w:r>
                              <w:rPr>
                                <w:rFonts w:ascii="FangSong" w:hAnsi="FangSong" w:eastAsia="FangSong" w:cs="宋体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FangSong" w:hAnsi="FangSong" w:eastAsia="FangSong" w:cs="宋体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75" w:type="dxa"/>
                            <w:vMerge w:val="restart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rFonts w:ascii="FangSong" w:hAnsi="FangSong" w:eastAsia="FangSong" w:cs="宋体"/>
                                <w:sz w:val="24"/>
                              </w:rPr>
                            </w:pPr>
                            <w:r>
                              <w:rPr>
                                <w:rFonts w:ascii="FangSong" w:hAnsi="FangSong" w:eastAsia="FangSong" w:cs="宋体" w:hint="eastAsia"/>
                                <w:sz w:val="24"/>
                              </w:rPr>
                              <w:t>LO4</w:t>
                            </w:r>
                            <w:r>
                              <w:rPr>
                                <w:rFonts w:ascii="FangSong" w:hAnsi="FangSong" w:eastAsia="FangSong" w:cs="宋体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4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28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1.掌握围棋的规则，了解围棋的起源和下法</w:t>
                            </w:r>
                            <w:r>
                              <w:rPr>
                                <w:sz w:val="20"/>
                              </w:rPr>
                              <w:t>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199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现场演示及</w:t>
                            </w:r>
                            <w:r>
                              <w:rPr>
                                <w:sz w:val="20"/>
                              </w:rPr>
                              <w:t>课堂讲授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作业：围棋入门教学设计1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0" w:hRule="auto"/>
                        </w:trPr>
                        <w:tc>
                          <w:tcPr>
                            <w:tcW w:w="535" w:type="dxa"/>
                            <w:vMerge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/>
                        </w:tc>
                        <w:tc>
                          <w:tcPr>
                            <w:tcW w:w="1175" w:type="dxa"/>
                            <w:vMerge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/>
                        </w:tc>
                        <w:tc>
                          <w:tcPr>
                            <w:tcW w:w="24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2.了解棋子的价值和不同位置的差别，了解围棋的生存条件与围地的基本方法。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199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分组对弈练习和讲解。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课堂展示1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0" w:hRule="auto"/>
                        </w:trPr>
                        <w:tc>
                          <w:tcPr>
                            <w:tcW w:w="535" w:type="dxa"/>
                            <w:vMerge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/>
                        </w:tc>
                        <w:tc>
                          <w:tcPr>
                            <w:tcW w:w="1175" w:type="dxa"/>
                            <w:vMerge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/>
                        </w:tc>
                        <w:tc>
                          <w:tcPr>
                            <w:tcW w:w="24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3.基本棋道和礼仪，让孩子尊重对手，懂得行棋的次序和方向。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199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围棋礼仪展示，课堂试讲练习。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课堂展示2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0" w:hRule="auto"/>
                        </w:trPr>
                        <w:tc>
                          <w:tcPr>
                            <w:tcW w:w="535" w:type="dxa"/>
                            <w:vMerge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/>
                        </w:tc>
                        <w:tc>
                          <w:tcPr>
                            <w:tcW w:w="1175" w:type="dxa"/>
                            <w:vMerge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/>
                        </w:tc>
                        <w:tc>
                          <w:tcPr>
                            <w:tcW w:w="247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rFonts w:ascii="FangSong" w:hAnsi="FangSong" w:eastAsia="FangSong" w:cs="宋体"/>
                                <w:sz w:val="24"/>
                              </w:rPr>
                            </w:pPr>
                            <w:r>
                              <w:rPr>
                                <w:rFonts w:ascii="FangSong" w:hAnsi="FangSong" w:eastAsia="FangSong" w:cs="宋体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19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288" w:lineRule="auto"/>
                              <w:jc w:val="center"/>
                              <w:rPr>
                                <w:rFonts w:ascii="SimHei" w:hAnsi="SimHei" w:eastAsia="SimHei"/>
                                <w:sz w:val="24"/>
                              </w:rPr>
                            </w:pPr>
                            <w:r>
                              <w:rPr>
                                <w:rFonts w:ascii="SimHei" w:hAnsi="SimHei" w:eastAsia="SimHei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288" w:lineRule="auto"/>
                              <w:jc w:val="center"/>
                              <w:rPr>
                                <w:rFonts w:ascii="SimHei" w:hAnsi="SimHei" w:eastAsia="SimHei"/>
                                <w:sz w:val="24"/>
                              </w:rPr>
                            </w:pPr>
                            <w:r>
                              <w:rPr>
                                <w:rFonts w:ascii="SimHei" w:hAnsi="SimHei" w:eastAsia="SimHei"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0" w:hRule="auto"/>
                        </w:trPr>
                        <w:tc>
                          <w:tcPr>
                            <w:tcW w:w="535" w:type="dxa"/>
                            <w:vMerge w:val="restart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rFonts w:ascii="FangSong" w:hAnsi="FangSong" w:eastAsia="FangSong" w:cs="宋体"/>
                                <w:sz w:val="24"/>
                              </w:rPr>
                            </w:pPr>
                            <w:r>
                              <w:rPr>
                                <w:rFonts w:ascii="FangSong" w:hAnsi="FangSong" w:eastAsia="FangSong" w:cs="宋体" w:hint="eastAs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FangSong" w:hAnsi="FangSong" w:eastAsia="FangSong" w:cs="宋体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75" w:type="dxa"/>
                            <w:vMerge w:val="restart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rFonts w:ascii="FangSong" w:hAnsi="FangSong" w:eastAsia="FangSong" w:cs="宋体"/>
                                <w:sz w:val="24"/>
                              </w:rPr>
                            </w:pPr>
                            <w:r>
                              <w:rPr>
                                <w:rFonts w:ascii="FangSong" w:hAnsi="FangSong" w:eastAsia="FangSong" w:cs="宋体" w:hint="eastAsia"/>
                                <w:sz w:val="24"/>
                              </w:rPr>
                              <w:t>LO8</w:t>
                            </w:r>
                            <w:r>
                              <w:rPr>
                                <w:rFonts w:ascii="FangSong" w:hAnsi="FangSong" w:eastAsia="FangSong" w:cs="宋体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4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1.了解世界围棋传播简史和经典棋局回顾，培养反思意识和国际视野。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199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经典棋局赏析，小组复盘交流。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作业：围棋入门教学设计2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0" w:hRule="auto"/>
                        </w:trPr>
                        <w:tc>
                          <w:tcPr>
                            <w:tcW w:w="535" w:type="dxa"/>
                            <w:vMerge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/>
                        </w:tc>
                        <w:tc>
                          <w:tcPr>
                            <w:tcW w:w="1175" w:type="dxa"/>
                            <w:vMerge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/>
                        </w:tc>
                        <w:tc>
                          <w:tcPr>
                            <w:tcW w:w="24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2.掌握围棋英语术语。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199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分析棋局和展示形势判断的方法，运用英语讲解围棋的能力。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课堂展示3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</w:r>
    </w:p>
    <w:p>
      <w:pPr>
        <w:ind w:firstLine="360"/>
        <w:spacing w:before="156" w:after="156" w:line="288" w:lineRule="auto"/>
        <w:jc w:val="left"/>
        <w:widowControl/>
        <w:rPr>
          <w:rFonts w:ascii="SimHei" w:hAnsi="SimHei" w:eastAsia="SimHei"/>
          <w:sz w:val="24"/>
        </w:rPr>
      </w:pPr>
      <w:r>
        <w:rPr>
          <w:rFonts w:ascii="SimHei" w:hAnsi="SimHei" w:eastAsia="SimHei" w:hint="eastAsia"/>
          <w:sz w:val="24"/>
        </w:rPr>
        <w:t>五、</w:t>
      </w:r>
      <w:r>
        <w:rPr>
          <w:rFonts w:ascii="SimHei" w:hAnsi="SimHei" w:eastAsia="SimHei"/>
          <w:sz w:val="24"/>
        </w:rPr>
        <w:t>课程内容（必填项）</w:t>
      </w:r>
      <w:r>
        <w:rPr>
          <w:rFonts w:ascii="SimHei" w:hAnsi="SimHei" w:eastAsia="SimHei"/>
          <w:sz w:val="24"/>
        </w:rPr>
      </w:r>
    </w:p>
    <w:p>
      <w:pPr>
        <w:ind w:firstLine="392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第一单元　围棋规则（the rules of go）</w:t>
      </w:r>
      <w:r>
        <w:rPr>
          <w:rFonts w:ascii="宋体" w:hAnsi="宋体"/>
          <w:sz w:val="20"/>
          <w:szCs w:val="20"/>
        </w:rPr>
      </w:r>
    </w:p>
    <w:p>
      <w:pPr>
        <w:ind w:firstLine="792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教学目标：Learning aims</w:t>
      </w:r>
      <w:r>
        <w:rPr>
          <w:rFonts w:ascii="宋体" w:hAnsi="宋体"/>
          <w:sz w:val="20"/>
          <w:szCs w:val="20"/>
        </w:rPr>
      </w:r>
    </w:p>
    <w:p>
      <w:pPr>
        <w:ind w:firstLine="792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初识围棋（to know the surrounding game）</w:t>
      </w:r>
      <w:r>
        <w:rPr>
          <w:rFonts w:ascii="宋体" w:hAnsi="宋体"/>
          <w:sz w:val="20"/>
          <w:szCs w:val="20"/>
        </w:rPr>
      </w:r>
    </w:p>
    <w:p>
      <w:pPr>
        <w:ind w:firstLine="792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掌握围棋规则（to master the rules of go）</w:t>
      </w:r>
      <w:r>
        <w:rPr>
          <w:rFonts w:ascii="宋体" w:hAnsi="宋体"/>
          <w:sz w:val="20"/>
          <w:szCs w:val="20"/>
        </w:rPr>
      </w:r>
    </w:p>
    <w:p>
      <w:pPr>
        <w:ind w:firstLine="792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</w:r>
    </w:p>
    <w:p>
      <w:pPr>
        <w:ind w:firstLine="792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教学重点：Key points</w:t>
      </w:r>
      <w:r>
        <w:rPr>
          <w:rFonts w:ascii="宋体" w:hAnsi="宋体"/>
          <w:sz w:val="20"/>
          <w:szCs w:val="20"/>
        </w:rPr>
      </w:r>
    </w:p>
    <w:p>
      <w:pPr>
        <w:numPr>
          <w:ilvl w:val="0"/>
          <w:numId w:val="3"/>
        </w:numPr>
        <w:ind w:left="0" w:firstLine="792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规则  the rules</w:t>
      </w:r>
      <w:r>
        <w:rPr>
          <w:rFonts w:ascii="宋体" w:hAnsi="宋体"/>
          <w:sz w:val="20"/>
          <w:szCs w:val="20"/>
        </w:rPr>
      </w:r>
    </w:p>
    <w:p>
      <w:pPr>
        <w:numPr>
          <w:ilvl w:val="0"/>
          <w:numId w:val="3"/>
        </w:numPr>
        <w:ind w:left="0" w:firstLine="792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儿童棋具介绍 Basic Equipment for Kids</w:t>
      </w:r>
      <w:r>
        <w:rPr>
          <w:rFonts w:ascii="宋体" w:hAnsi="宋体"/>
          <w:sz w:val="20"/>
          <w:szCs w:val="20"/>
        </w:rPr>
      </w:r>
    </w:p>
    <w:p>
      <w:pPr>
        <w:numPr>
          <w:ilvl w:val="0"/>
          <w:numId w:val="3"/>
        </w:numPr>
        <w:ind w:left="0" w:firstLine="792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吃子技巧  capturing technologies</w:t>
      </w:r>
      <w:r>
        <w:rPr>
          <w:rFonts w:ascii="宋体" w:hAnsi="宋体"/>
          <w:sz w:val="20"/>
          <w:szCs w:val="20"/>
        </w:rPr>
      </w:r>
    </w:p>
    <w:p>
      <w:pPr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</w:r>
    </w:p>
    <w:p>
      <w:pPr>
        <w:ind w:firstLine="400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第二单元 围棋行棋常规</w:t>
      </w:r>
      <w:r>
        <w:rPr>
          <w:rFonts w:ascii="宋体" w:hAnsi="宋体"/>
          <w:sz w:val="20"/>
          <w:szCs w:val="20"/>
        </w:rPr>
      </w:r>
    </w:p>
    <w:p>
      <w:pPr>
        <w:numPr>
          <w:ilvl w:val="0"/>
          <w:numId w:val="5"/>
        </w:numPr>
        <w:ind w:left="0" w:firstLine="800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死活基础  life and death problem（puzzles）</w:t>
      </w:r>
      <w:r>
        <w:rPr>
          <w:rFonts w:ascii="宋体" w:hAnsi="宋体"/>
          <w:sz w:val="20"/>
          <w:szCs w:val="20"/>
        </w:rPr>
      </w:r>
    </w:p>
    <w:p>
      <w:pPr>
        <w:numPr>
          <w:ilvl w:val="0"/>
          <w:numId w:val="5"/>
        </w:numPr>
        <w:ind w:left="0" w:firstLine="800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围棋布局  opening styles</w:t>
      </w:r>
      <w:r>
        <w:rPr>
          <w:rFonts w:ascii="宋体" w:hAnsi="宋体"/>
          <w:sz w:val="20"/>
          <w:szCs w:val="20"/>
        </w:rPr>
      </w:r>
    </w:p>
    <w:p>
      <w:pPr>
        <w:numPr>
          <w:ilvl w:val="0"/>
          <w:numId w:val="5"/>
        </w:numPr>
        <w:ind w:left="0" w:firstLine="800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中盘战法  fighting </w:t>
      </w:r>
      <w:r>
        <w:rPr>
          <w:rFonts w:ascii="宋体" w:hAnsi="宋体"/>
          <w:sz w:val="20"/>
          <w:szCs w:val="20"/>
        </w:rPr>
      </w:r>
    </w:p>
    <w:p>
      <w:pPr>
        <w:numPr>
          <w:ilvl w:val="0"/>
          <w:numId w:val="5"/>
        </w:numPr>
        <w:ind w:left="0" w:firstLine="800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围棋官子 endgame</w:t>
      </w:r>
      <w:r>
        <w:rPr>
          <w:rFonts w:ascii="宋体" w:hAnsi="宋体"/>
          <w:sz w:val="20"/>
          <w:szCs w:val="20"/>
        </w:rPr>
      </w:r>
    </w:p>
    <w:p>
      <w:pPr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</w:r>
    </w:p>
    <w:p>
      <w:pPr>
        <w:ind w:firstLine="392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第三单元　围棋历史（the brief history of go）</w:t>
      </w:r>
      <w:r>
        <w:rPr>
          <w:rFonts w:ascii="宋体" w:hAnsi="宋体"/>
          <w:sz w:val="20"/>
          <w:szCs w:val="20"/>
        </w:rPr>
      </w:r>
    </w:p>
    <w:p>
      <w:pPr>
        <w:ind w:firstLine="792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教学目标：Learning Aims</w:t>
      </w:r>
      <w:r>
        <w:rPr>
          <w:rFonts w:ascii="宋体" w:hAnsi="宋体"/>
          <w:sz w:val="20"/>
          <w:szCs w:val="20"/>
        </w:rPr>
      </w:r>
    </w:p>
    <w:p>
      <w:pPr>
        <w:ind w:firstLine="800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认识各国围棋发展历史 （to know the brief history of go）</w:t>
      </w:r>
      <w:r>
        <w:rPr>
          <w:rFonts w:ascii="宋体" w:hAnsi="宋体"/>
          <w:sz w:val="20"/>
          <w:szCs w:val="20"/>
        </w:rPr>
      </w:r>
    </w:p>
    <w:p>
      <w:pPr>
        <w:ind w:firstLine="792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</w:r>
    </w:p>
    <w:p>
      <w:pPr>
        <w:ind w:firstLine="792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教学重点：Key Points</w:t>
      </w:r>
      <w:r>
        <w:rPr>
          <w:rFonts w:ascii="宋体" w:hAnsi="宋体"/>
          <w:sz w:val="20"/>
          <w:szCs w:val="20"/>
        </w:rPr>
      </w:r>
    </w:p>
    <w:p>
      <w:pPr>
        <w:numPr>
          <w:ilvl w:val="0"/>
          <w:numId w:val="4"/>
        </w:numPr>
        <w:ind w:left="0" w:firstLine="800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中国历代围棋 Chinese Go History </w:t>
      </w:r>
      <w:r>
        <w:rPr>
          <w:rFonts w:ascii="宋体" w:hAnsi="宋体"/>
          <w:sz w:val="20"/>
          <w:szCs w:val="20"/>
        </w:rPr>
      </w:r>
    </w:p>
    <w:p>
      <w:pPr>
        <w:numPr>
          <w:ilvl w:val="0"/>
          <w:numId w:val="4"/>
        </w:numPr>
        <w:ind w:left="0" w:firstLine="800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日本围棋 Japanese Go History</w:t>
      </w:r>
      <w:r>
        <w:rPr>
          <w:rFonts w:ascii="宋体" w:hAnsi="宋体"/>
          <w:sz w:val="20"/>
          <w:szCs w:val="20"/>
        </w:rPr>
      </w:r>
    </w:p>
    <w:p>
      <w:pPr>
        <w:numPr>
          <w:ilvl w:val="0"/>
          <w:numId w:val="4"/>
        </w:numPr>
        <w:ind w:left="0" w:firstLine="800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韩国围棋 Korean Go History</w:t>
      </w:r>
      <w:r>
        <w:rPr>
          <w:rFonts w:ascii="宋体" w:hAnsi="宋体"/>
          <w:sz w:val="20"/>
          <w:szCs w:val="20"/>
        </w:rPr>
      </w:r>
    </w:p>
    <w:p>
      <w:pPr>
        <w:numPr>
          <w:ilvl w:val="0"/>
          <w:numId w:val="4"/>
        </w:numPr>
        <w:ind w:left="0" w:firstLine="800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世界围棋 Go Promotion Worldwide</w:t>
      </w:r>
      <w:r>
        <w:rPr>
          <w:rFonts w:ascii="宋体" w:hAnsi="宋体"/>
          <w:sz w:val="20"/>
          <w:szCs w:val="20"/>
        </w:rPr>
      </w:r>
    </w:p>
    <w:p>
      <w:pPr>
        <w:ind w:firstLine="800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</w:r>
    </w:p>
    <w:p>
      <w:pPr>
        <w:ind w:firstLine="392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第四单元　围棋启蒙教学（Teaching the Game for Kids）</w:t>
      </w:r>
      <w:r>
        <w:rPr>
          <w:rFonts w:ascii="宋体" w:hAnsi="宋体"/>
          <w:sz w:val="20"/>
          <w:szCs w:val="20"/>
        </w:rPr>
      </w:r>
    </w:p>
    <w:p>
      <w:pPr>
        <w:ind w:firstLine="792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教学目标：Learning Aims</w:t>
      </w:r>
      <w:r>
        <w:rPr>
          <w:rFonts w:ascii="宋体" w:hAnsi="宋体"/>
          <w:sz w:val="20"/>
          <w:szCs w:val="20"/>
        </w:rPr>
      </w:r>
    </w:p>
    <w:p>
      <w:pPr>
        <w:ind w:firstLine="792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了解启蒙教学的基本原则 the principles of learning</w:t>
      </w:r>
      <w:r>
        <w:rPr>
          <w:rFonts w:ascii="宋体" w:hAnsi="宋体"/>
          <w:sz w:val="20"/>
          <w:szCs w:val="20"/>
        </w:rPr>
      </w:r>
    </w:p>
    <w:p>
      <w:pPr>
        <w:ind w:firstLine="792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掌握启蒙教学的基本方法 the methods of playing together</w:t>
      </w:r>
      <w:r>
        <w:rPr>
          <w:rFonts w:ascii="宋体" w:hAnsi="宋体"/>
          <w:sz w:val="20"/>
          <w:szCs w:val="20"/>
        </w:rPr>
      </w:r>
    </w:p>
    <w:p>
      <w:pPr>
        <w:ind w:firstLine="792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</w:r>
    </w:p>
    <w:p>
      <w:pPr>
        <w:ind w:firstLine="792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教学重点：key points</w:t>
      </w:r>
      <w:r>
        <w:rPr>
          <w:rFonts w:ascii="宋体" w:hAnsi="宋体"/>
          <w:sz w:val="20"/>
          <w:szCs w:val="20"/>
        </w:rPr>
      </w:r>
    </w:p>
    <w:p>
      <w:pPr>
        <w:numPr>
          <w:ilvl w:val="0"/>
          <w:numId w:val="1"/>
        </w:numPr>
        <w:ind w:left="0" w:firstLine="792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How to prepare the game before starting</w:t>
      </w:r>
      <w:r>
        <w:rPr>
          <w:rFonts w:ascii="宋体" w:hAnsi="宋体"/>
          <w:sz w:val="20"/>
          <w:szCs w:val="20"/>
        </w:rPr>
      </w:r>
    </w:p>
    <w:p>
      <w:pPr>
        <w:numPr>
          <w:ilvl w:val="0"/>
          <w:numId w:val="1"/>
        </w:numPr>
        <w:ind w:left="0" w:firstLine="792"/>
        <w:spacing w:line="480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Learning the game in a natural way</w:t>
      </w:r>
      <w:r>
        <w:rPr>
          <w:rFonts w:ascii="宋体" w:hAnsi="宋体"/>
          <w:sz w:val="20"/>
          <w:szCs w:val="20"/>
        </w:rPr>
      </w:r>
    </w:p>
    <w:p>
      <w:pPr>
        <w:numPr>
          <w:ilvl w:val="0"/>
          <w:numId w:val="2"/>
        </w:numPr>
        <w:ind w:left="0" w:firstLine="300"/>
        <w:spacing w:before="156" w:after="156" w:line="288" w:lineRule="auto"/>
        <w:jc w:val="left"/>
        <w:widowControl/>
        <w:rPr>
          <w:rFonts w:ascii="SimHei" w:hAnsi="SimHei" w:eastAsia="SimHei"/>
          <w:sz w:val="24"/>
        </w:rPr>
      </w:pPr>
      <w:r>
        <w:rPr>
          <w:bCs/>
          <w:sz w:val="20"/>
          <w:szCs w:val="20"/>
        </w:rPr>
        <w:t xml:space="preserve"> </w:t>
      </w:r>
      <w:r>
        <w:rPr>
          <w:rFonts w:ascii="SimHei" w:hAnsi="SimHei" w:eastAsia="SimHei" w:hint="eastAsia"/>
          <w:sz w:val="24"/>
        </w:rPr>
        <w:t>课内实验名称及基本要求（选填，适用于课内实验）</w:t>
      </w:r>
      <w:r>
        <w:rPr>
          <w:rFonts w:ascii="SimHei" w:hAnsi="SimHei" w:eastAsia="SimHei"/>
          <w:sz w:val="24"/>
        </w:rPr>
      </w:r>
    </w:p>
    <w:p>
      <w:pPr>
        <w:ind w:right="26" w:firstLine="400"/>
        <w:spacing w:line="288" w:lineRule="auto"/>
        <w:rPr>
          <w:sz w:val="20"/>
          <w:szCs w:val="20"/>
        </w:rPr>
      </w:pPr>
      <w:r/>
      <w:bookmarkStart w:id="1" w:name="_Hlk16624596"/>
      <w:bookmarkEnd w:id="1"/>
      <w:r/>
      <w:r>
        <w:rPr>
          <w:sz w:val="20"/>
          <w:szCs w:val="20"/>
        </w:rPr>
        <w:t>列出课程实验的名称、学时数、实验类型（演示型、验证型、设计型、综合型）及每个实</w:t>
      </w:r>
      <w:r>
        <w:rPr>
          <w:sz w:val="20"/>
          <w:szCs w:val="20"/>
        </w:rPr>
        <w:t>验的内容简述。</w:t>
      </w:r>
      <w:r>
        <w:rPr>
          <w:sz w:val="20"/>
          <w:szCs w:val="20"/>
        </w:rPr>
      </w:r>
    </w:p>
    <w:tbl>
      <w:tblPr>
        <w:tblW w:w="9072" w:type="dxa"/>
      </w:tblPr>
      <w:tblGrid>
        <w:gridCol w:w="540"/>
        <w:gridCol w:w="1620"/>
        <w:gridCol w:w="3240"/>
        <w:gridCol w:w="900"/>
        <w:gridCol w:w="1057"/>
        <w:gridCol w:w="1715"/>
      </w:tblGrid>
      <w:tr>
        <w:trPr>
          <w:trHeight w:val="340" w:hRule="atLeast"/>
        </w:trPr>
        <w:tc>
          <w:tcPr>
            <w:tcW w:w="5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  <w:r>
              <w:rPr>
                <w:rFonts w:ascii="宋体" w:hAnsi="宋体"/>
                <w:sz w:val="20"/>
                <w:szCs w:val="20"/>
              </w:rPr>
            </w:r>
          </w:p>
        </w:tc>
        <w:tc>
          <w:tcPr>
            <w:tcW w:w="16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  <w:r>
              <w:rPr>
                <w:rFonts w:ascii="宋体" w:hAnsi="宋体"/>
                <w:sz w:val="20"/>
                <w:szCs w:val="20"/>
              </w:rPr>
            </w:r>
          </w:p>
        </w:tc>
        <w:tc>
          <w:tcPr>
            <w:tcW w:w="32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  <w:r>
              <w:rPr>
                <w:rFonts w:ascii="宋体" w:hAnsi="宋体"/>
                <w:sz w:val="20"/>
                <w:szCs w:val="20"/>
              </w:rPr>
            </w:r>
          </w:p>
        </w:tc>
        <w:tc>
          <w:tcPr>
            <w:tcW w:w="9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  <w:r>
              <w:rPr>
                <w:rFonts w:ascii="宋体" w:hAnsi="宋体"/>
                <w:sz w:val="20"/>
                <w:szCs w:val="20"/>
              </w:rPr>
            </w:r>
          </w:p>
          <w:p>
            <w:pPr>
              <w:spacing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  <w:r>
              <w:rPr>
                <w:rFonts w:ascii="宋体" w:hAnsi="宋体"/>
                <w:sz w:val="20"/>
                <w:szCs w:val="20"/>
              </w:rPr>
            </w:r>
          </w:p>
        </w:tc>
        <w:tc>
          <w:tcPr>
            <w:tcW w:w="105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实验类型</w:t>
            </w:r>
            <w:r>
              <w:rPr>
                <w:rFonts w:ascii="宋体" w:hAnsi="宋体"/>
                <w:sz w:val="20"/>
                <w:szCs w:val="20"/>
              </w:rPr>
            </w:r>
          </w:p>
        </w:tc>
        <w:tc>
          <w:tcPr>
            <w:tcW w:w="17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  <w:r>
              <w:rPr>
                <w:rFonts w:ascii="宋体" w:hAnsi="宋体"/>
                <w:sz w:val="20"/>
                <w:szCs w:val="20"/>
              </w:rPr>
            </w:r>
          </w:p>
        </w:tc>
      </w:tr>
      <w:tr>
        <w:trPr>
          <w:trHeight w:val="656" w:hRule="exact"/>
        </w:trPr>
        <w:tc>
          <w:tcPr>
            <w:tcW w:w="5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1</w:t>
            </w:r>
            <w:r>
              <w:rPr>
                <w:rFonts w:eastAsia="Calibri"/>
                <w:szCs w:val="21"/>
              </w:rPr>
            </w:r>
          </w:p>
        </w:tc>
        <w:tc>
          <w:tcPr>
            <w:tcW w:w="16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围棋礼仪和规则</w:t>
            </w:r>
            <w:r>
              <w:rPr>
                <w:rFonts w:eastAsia="Calibri"/>
                <w:szCs w:val="21"/>
              </w:rPr>
            </w:r>
          </w:p>
        </w:tc>
        <w:tc>
          <w:tcPr>
            <w:tcW w:w="32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-50"/>
              <w:spacing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围棋执子手势和坐姿训练</w:t>
            </w:r>
            <w:r>
              <w:rPr>
                <w:rFonts w:eastAsia="Calibri"/>
                <w:szCs w:val="21"/>
              </w:rPr>
            </w:r>
          </w:p>
        </w:tc>
        <w:tc>
          <w:tcPr>
            <w:tcW w:w="9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1</w:t>
            </w:r>
            <w:r>
              <w:rPr>
                <w:rFonts w:eastAsia="Calibri"/>
                <w:szCs w:val="21"/>
              </w:rPr>
            </w:r>
          </w:p>
        </w:tc>
        <w:tc>
          <w:tcPr>
            <w:tcW w:w="105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演示型</w:t>
            </w:r>
            <w:r>
              <w:rPr>
                <w:rFonts w:eastAsia="Calibri"/>
                <w:szCs w:val="21"/>
              </w:rPr>
            </w:r>
          </w:p>
        </w:tc>
        <w:tc>
          <w:tcPr>
            <w:tcW w:w="17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56" w:after="156" w:line="288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</w:r>
          </w:p>
        </w:tc>
      </w:tr>
      <w:tr>
        <w:trPr>
          <w:trHeight w:val="854" w:hRule="exact"/>
        </w:trPr>
        <w:tc>
          <w:tcPr>
            <w:tcW w:w="5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2</w:t>
            </w:r>
            <w:r>
              <w:rPr>
                <w:rFonts w:eastAsia="Calibri"/>
                <w:szCs w:val="21"/>
              </w:rPr>
            </w:r>
          </w:p>
        </w:tc>
        <w:tc>
          <w:tcPr>
            <w:tcW w:w="16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围棋9路棋盘对弈</w:t>
            </w:r>
            <w:r>
              <w:rPr>
                <w:rFonts w:eastAsia="Calibri"/>
                <w:szCs w:val="21"/>
              </w:rPr>
            </w:r>
          </w:p>
        </w:tc>
        <w:tc>
          <w:tcPr>
            <w:tcW w:w="32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练习基本的行棋方法和死活</w:t>
            </w:r>
            <w:r>
              <w:rPr>
                <w:rFonts w:eastAsia="Calibri"/>
                <w:szCs w:val="21"/>
              </w:rPr>
            </w:r>
          </w:p>
        </w:tc>
        <w:tc>
          <w:tcPr>
            <w:tcW w:w="9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1</w:t>
            </w:r>
            <w:r>
              <w:rPr>
                <w:rFonts w:eastAsia="Calibri"/>
                <w:szCs w:val="21"/>
              </w:rPr>
            </w:r>
          </w:p>
        </w:tc>
        <w:tc>
          <w:tcPr>
            <w:tcW w:w="105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实战训练型</w:t>
            </w:r>
            <w:r>
              <w:rPr>
                <w:rFonts w:eastAsia="Calibri"/>
                <w:szCs w:val="21"/>
              </w:rPr>
            </w:r>
          </w:p>
        </w:tc>
        <w:tc>
          <w:tcPr>
            <w:tcW w:w="17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56" w:after="156" w:line="288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</w:r>
          </w:p>
        </w:tc>
      </w:tr>
      <w:tr>
        <w:trPr>
          <w:trHeight w:val="852" w:hRule="exact"/>
        </w:trPr>
        <w:tc>
          <w:tcPr>
            <w:tcW w:w="5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3</w:t>
            </w:r>
            <w:r>
              <w:rPr>
                <w:rFonts w:eastAsia="Calibri"/>
                <w:szCs w:val="21"/>
              </w:rPr>
            </w:r>
          </w:p>
        </w:tc>
        <w:tc>
          <w:tcPr>
            <w:tcW w:w="16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围棋历史文化</w:t>
            </w:r>
            <w:r>
              <w:rPr>
                <w:rFonts w:eastAsia="Calibri"/>
                <w:szCs w:val="21"/>
              </w:rPr>
            </w:r>
          </w:p>
        </w:tc>
        <w:tc>
          <w:tcPr>
            <w:tcW w:w="32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学生课堂活动设计与展示</w:t>
            </w:r>
            <w:r>
              <w:rPr>
                <w:rFonts w:eastAsia="Calibri"/>
                <w:szCs w:val="21"/>
              </w:rPr>
            </w:r>
          </w:p>
        </w:tc>
        <w:tc>
          <w:tcPr>
            <w:tcW w:w="9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1</w:t>
            </w:r>
            <w:r>
              <w:rPr>
                <w:rFonts w:eastAsia="Calibri"/>
                <w:szCs w:val="21"/>
              </w:rPr>
            </w:r>
          </w:p>
        </w:tc>
        <w:tc>
          <w:tcPr>
            <w:tcW w:w="105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演示型</w:t>
            </w:r>
            <w:r>
              <w:rPr>
                <w:rFonts w:eastAsia="Calibri"/>
                <w:szCs w:val="21"/>
              </w:rPr>
            </w:r>
          </w:p>
        </w:tc>
        <w:tc>
          <w:tcPr>
            <w:tcW w:w="17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56" w:after="156" w:line="288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</w:r>
          </w:p>
        </w:tc>
      </w:tr>
      <w:tr>
        <w:trPr>
          <w:trHeight w:val="1275" w:hRule="exact"/>
        </w:trPr>
        <w:tc>
          <w:tcPr>
            <w:tcW w:w="5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4</w:t>
            </w:r>
            <w:r>
              <w:rPr>
                <w:rFonts w:eastAsia="Calibri"/>
                <w:szCs w:val="21"/>
              </w:rPr>
            </w:r>
          </w:p>
        </w:tc>
        <w:tc>
          <w:tcPr>
            <w:tcW w:w="16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 xml:space="preserve">试讲训练 </w:t>
            </w:r>
            <w:r>
              <w:rPr>
                <w:rFonts w:eastAsia="Calibri"/>
                <w:szCs w:val="21"/>
              </w:rPr>
            </w:r>
          </w:p>
        </w:tc>
        <w:tc>
          <w:tcPr>
            <w:tcW w:w="32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围棋入门课的试讲</w:t>
            </w:r>
            <w:r>
              <w:rPr>
                <w:rFonts w:eastAsia="Calibri"/>
                <w:szCs w:val="21"/>
              </w:rPr>
            </w:r>
          </w:p>
        </w:tc>
        <w:tc>
          <w:tcPr>
            <w:tcW w:w="9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eastAsia="Calibri"/>
                <w:szCs w:val="21"/>
              </w:rPr>
              <w:t>1</w:t>
            </w:r>
          </w:p>
        </w:tc>
        <w:tc>
          <w:tcPr>
            <w:tcW w:w="105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演示型</w:t>
            </w:r>
            <w:r>
              <w:rPr>
                <w:rFonts w:eastAsia="Calibri"/>
                <w:szCs w:val="21"/>
              </w:rPr>
            </w:r>
          </w:p>
        </w:tc>
        <w:tc>
          <w:tcPr>
            <w:tcW w:w="17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56" w:after="156" w:line="288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</w:r>
          </w:p>
        </w:tc>
      </w:tr>
    </w:tbl>
    <w:p>
      <w:pPr>
        <w:ind w:right="26"/>
        <w:spacing w:line="288" w:lineRule="auto"/>
        <w:rPr>
          <w:rFonts w:ascii="SimHei" w:hAnsi="SimHei" w:eastAsia="SimHei"/>
          <w:sz w:val="24"/>
        </w:rPr>
      </w:pPr>
      <w:r>
        <w:rPr>
          <w:rFonts w:ascii="SimHei" w:hAnsi="SimHei" w:eastAsia="SimHei"/>
          <w:sz w:val="24"/>
        </w:rPr>
      </w:r>
    </w:p>
    <w:p>
      <w:pPr>
        <w:ind w:right="26"/>
        <w:spacing w:line="288" w:lineRule="auto"/>
        <w:rPr>
          <w:sz w:val="20"/>
          <w:szCs w:val="20"/>
        </w:rPr>
      </w:pPr>
      <w:r>
        <w:rPr>
          <w:rFonts w:ascii="SimHei" w:hAnsi="SimHei" w:eastAsia="SimHei" w:hint="eastAsia"/>
          <w:sz w:val="24"/>
        </w:rPr>
        <w:t>七、评价方式与成绩</w:t>
      </w:r>
      <w:r>
        <w:rPr>
          <w:rFonts w:ascii="SimHei" w:hAnsi="SimHei" w:eastAsia="SimHei"/>
          <w:sz w:val="24"/>
        </w:rPr>
        <w:t>（必填项）</w:t>
      </w:r>
      <w:r>
        <w:rPr>
          <w:sz w:val="20"/>
          <w:szCs w:val="20"/>
        </w:rPr>
      </w:r>
    </w:p>
    <w:p>
      <w:pPr>
        <w:ind w:right="26"/>
        <w:spacing w:line="288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455295</wp:posOffset>
                </wp:positionV>
                <wp:extent cx="5566410" cy="1440815"/>
                <wp:effectExtent l="0" t="0" r="0" b="0"/>
                <wp:wrapSquare wrapText="bothSides"/>
                <wp:docPr id="3" name="文本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o" val="SMDATA_11_WTwBZB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PgAAAACiAAAAAAAAAAAAAAAAAAAAAAAAPQcAAAAAAAACAAAAzQIAAD4iAADdCAAAAwAAAD0HAABtCAAA"/>
                          </a:ext>
                        </a:extLst>
                      </wps:cNvSpPr>
                      <wps:spPr>
                        <a:xfrm>
                          <a:off x="0" y="0"/>
                          <a:ext cx="5566410" cy="14408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755" w:type="dxa"/>
                            </w:tblPr>
                            <w:tblGrid>
                              <w:gridCol w:w="1809"/>
                              <w:gridCol w:w="5103"/>
                              <w:gridCol w:w="1843"/>
                            </w:tblGrid>
                            <w:tr>
                              <w:trPr>
                                <w:trHeight w:val="0" w:hRule="auto"/>
                              </w:trPr>
                              <w:tc>
                                <w:tcPr>
                                  <w:tcW w:w="180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before="156" w:after="156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Cs/>
                                      <w:szCs w:val="20"/>
                                    </w:rPr>
                                    <w:t>总评构成（1+</w:t>
                                  </w:r>
                                  <w:r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宋体" w:hAnsi="宋体" w:hint="eastAsia"/>
                                      <w:bCs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Cs/>
                                      <w:szCs w:val="20"/>
                                    </w:rPr>
                                    <w:t>评价方式</w:t>
                                  </w:r>
                                  <w:r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Cs/>
                                      <w:szCs w:val="20"/>
                                    </w:rPr>
                                    <w:t>占比</w:t>
                                  </w:r>
                                  <w:r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0" w:hRule="auto"/>
                              </w:trPr>
                              <w:tc>
                                <w:tcPr>
                                  <w:tcW w:w="180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Cs/>
                                      <w:szCs w:val="20"/>
                                    </w:rPr>
                                    <w:t>X1</w:t>
                                  </w:r>
                                  <w:r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Cs/>
                                      <w:szCs w:val="20"/>
                                    </w:rPr>
                                    <w:t>作业</w:t>
                                  </w:r>
                                  <w:r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Cs/>
                                      <w:szCs w:val="20"/>
                                    </w:rPr>
                                    <w:t>60%</w:t>
                                  </w:r>
                                  <w:r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0" w:hRule="auto"/>
                              </w:trPr>
                              <w:tc>
                                <w:tcPr>
                                  <w:tcW w:w="180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Cs/>
                                      <w:szCs w:val="20"/>
                                    </w:rPr>
                                    <w:t>X2</w:t>
                                  </w:r>
                                  <w:r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Cs/>
                                      <w:szCs w:val="20"/>
                                    </w:rPr>
                                    <w:t>课堂展示1</w:t>
                                  </w:r>
                                  <w:r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Cs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hint="eastAsia"/>
                                      <w:bCs/>
                                      <w:szCs w:val="20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0" w:hRule="auto"/>
                              </w:trPr>
                              <w:tc>
                                <w:tcPr>
                                  <w:tcW w:w="180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Cs/>
                                      <w:szCs w:val="20"/>
                                    </w:rPr>
                                    <w:t>X3</w:t>
                                  </w:r>
                                  <w:r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Cs/>
                                      <w:szCs w:val="20"/>
                                    </w:rPr>
                                    <w:t>课堂展示2或者课堂展示3</w:t>
                                  </w:r>
                                  <w:r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Cs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hint="eastAsia"/>
                                      <w:bCs/>
                                      <w:szCs w:val="20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spcFirstLastPara="1" vertOverflow="clip" horzOverflow="clip" wrap="none" lIns="0" tIns="0" rIns="6985" bIns="6985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3" o:spid="_x0000_s1028" type="#_x0000_t202" style="position:absolute;margin-left:92.65pt;margin-top:35.85pt;mso-position-horizontal-relative:page;width:438.30pt;height:113.45pt;mso-wrap-distance-left:9.00pt;mso-wrap-distance-top:0.00pt;mso-wrap-distance-right:9.00pt;mso-wrap-distance-bottom:0.00pt;mso-wrap-style:none" stroked="f" filled="f" v:ext="SMDATA_11_WTwBZB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PgAAAACiAAAAAAAAAAAAAAAAAAAAAAAAPQcAAAAAAAACAAAAzQIAAD4iAADdCAAAAwAAAD0HAABtCAAA" o:insetmode="custom">
                <w10:wrap type="square" anchorx="page" anchory="text"/>
                <v:textbox style="mso-fit-shape-to-text:t" inset="0.0pt,0.0pt,0.6pt,0.6pt">
                  <w:txbxContent>
                    <w:tbl>
                      <w:tblPr>
                        <w:tblW w:w="8755" w:type="dxa"/>
                      </w:tblPr>
                      <w:tblGrid>
                        <w:gridCol w:w="1809"/>
                        <w:gridCol w:w="5103"/>
                        <w:gridCol w:w="1843"/>
                      </w:tblGrid>
                      <w:tr>
                        <w:trPr>
                          <w:trHeight w:val="0" w:hRule="auto"/>
                        </w:trPr>
                        <w:tc>
                          <w:tcPr>
                            <w:tcW w:w="180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before="156" w:after="156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Cs w:val="20"/>
                              </w:rPr>
                              <w:t>总评构成（1+</w:t>
                            </w:r>
                            <w:r>
                              <w:rPr>
                                <w:rFonts w:ascii="宋体" w:hAnsi="宋体"/>
                                <w:bCs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Cs w:val="20"/>
                              </w:rPr>
                              <w:t>评价方式</w:t>
                            </w:r>
                            <w:r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Cs w:val="20"/>
                              </w:rPr>
                              <w:t>占比</w:t>
                            </w:r>
                            <w:r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0" w:hRule="auto"/>
                        </w:trPr>
                        <w:tc>
                          <w:tcPr>
                            <w:tcW w:w="180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Cs w:val="20"/>
                              </w:rPr>
                              <w:t>X1</w:t>
                            </w:r>
                            <w:r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Cs w:val="20"/>
                              </w:rPr>
                              <w:t>作业</w:t>
                            </w:r>
                            <w:r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Cs w:val="20"/>
                              </w:rPr>
                              <w:t>60%</w:t>
                            </w:r>
                            <w:r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0" w:hRule="auto"/>
                        </w:trPr>
                        <w:tc>
                          <w:tcPr>
                            <w:tcW w:w="180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Cs w:val="20"/>
                              </w:rPr>
                              <w:t>X2</w:t>
                            </w:r>
                            <w:r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Cs w:val="20"/>
                              </w:rPr>
                              <w:t>课堂展示1</w:t>
                            </w:r>
                            <w:r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宋体" w:hAnsi="宋体"/>
                                <w:bCs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Cs w:val="20"/>
                              </w:rPr>
                              <w:t>%</w:t>
                            </w:r>
                            <w:r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0" w:hRule="auto"/>
                        </w:trPr>
                        <w:tc>
                          <w:tcPr>
                            <w:tcW w:w="180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Cs w:val="20"/>
                              </w:rPr>
                              <w:t>X3</w:t>
                            </w:r>
                            <w:r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Cs w:val="20"/>
                              </w:rPr>
                              <w:t>课堂展示2或者课堂展示3</w:t>
                            </w:r>
                            <w:r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宋体" w:hAnsi="宋体"/>
                                <w:bCs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Cs w:val="20"/>
                              </w:rPr>
                              <w:t>%</w:t>
                            </w:r>
                            <w:r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Cs/>
          <w:szCs w:val="20"/>
        </w:rPr>
      </w:r>
    </w:p>
    <w:p>
      <w:pPr>
        <w:ind w:firstLine="400"/>
        <w:spacing w:before="156"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sz w:val="20"/>
          <w:szCs w:val="20"/>
        </w:rPr>
        <w:t>次数一般不少于</w:t>
      </w:r>
      <w:r>
        <w:rPr>
          <w:sz w:val="20"/>
          <w:szCs w:val="20"/>
        </w:rPr>
        <w:t>3</w:t>
      </w:r>
      <w:r>
        <w:rPr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</w:t>
      </w:r>
      <w:r>
        <w:rPr>
          <w:rFonts w:ascii="宋体" w:hAnsi="宋体"/>
          <w:sz w:val="20"/>
          <w:szCs w:val="20"/>
        </w:rPr>
      </w:r>
    </w:p>
    <w:p>
      <w:pPr>
        <w:ind w:firstLine="400"/>
        <w:spacing w:before="120" w:after="120" w:line="288" w:lineRule="auto"/>
        <w:rPr>
          <w:b/>
          <w:sz w:val="20"/>
          <w:szCs w:val="20"/>
        </w:rPr>
      </w:pPr>
      <w:r>
        <w:rPr>
          <w:sz w:val="20"/>
          <w:szCs w:val="20"/>
        </w:rPr>
        <w:t>常用</w:t>
      </w:r>
      <w:r>
        <w:rPr>
          <w:sz w:val="20"/>
          <w:szCs w:val="20"/>
        </w:rPr>
        <w:t>的</w:t>
      </w:r>
      <w:r>
        <w:rPr>
          <w:sz w:val="20"/>
          <w:szCs w:val="20"/>
        </w:rPr>
        <w:t>评价</w:t>
      </w:r>
      <w:r>
        <w:rPr>
          <w:sz w:val="20"/>
          <w:szCs w:val="20"/>
        </w:rPr>
        <w:t>方式</w:t>
      </w:r>
      <w:r>
        <w:rPr>
          <w:sz w:val="20"/>
          <w:szCs w:val="20"/>
        </w:rPr>
        <w:t>有</w:t>
      </w:r>
      <w:r>
        <w:rPr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</w:rPr>
        <w:t>一般课外扩展阅读的检查评价应该成为“X”中的一部分。</w:t>
      </w:r>
      <w:r>
        <w:rPr>
          <w:b/>
          <w:sz w:val="20"/>
          <w:szCs w:val="20"/>
        </w:rPr>
      </w:r>
    </w:p>
    <w:p>
      <w:pPr>
        <w:ind w:firstLine="400"/>
        <w:spacing w:before="120" w:after="120"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同一门课程由多个教师共同授课的，由课程组共同讨论决定X的内容、次数及比例。</w:t>
      </w:r>
      <w:r>
        <w:rPr>
          <w:rFonts w:ascii="宋体" w:hAnsi="宋体"/>
          <w:sz w:val="20"/>
          <w:szCs w:val="20"/>
        </w:rPr>
      </w:r>
    </w:p>
    <w:p>
      <w:pPr>
        <w:ind w:firstLine="400"/>
        <w:spacing w:before="120" w:after="120" w:line="288" w:lineRule="auto"/>
        <w:rPr>
          <w:rFonts w:ascii="宋体" w:hAnsi="宋体"/>
          <w:sz w:val="20"/>
          <w:szCs w:val="20"/>
          <w:shd w:val="clear" w:fill="ffff00"/>
        </w:rPr>
      </w:pPr>
      <w:r>
        <w:rPr>
          <w:rFonts w:ascii="宋体" w:hAnsi="宋体"/>
          <w:sz w:val="20"/>
          <w:szCs w:val="20"/>
          <w:shd w:val="clear" w:fill="ffff00"/>
        </w:rPr>
      </w:r>
    </w:p>
    <w:p>
      <w:pPr>
        <w:ind w:firstLine="840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撰写人： 孙德常                   </w:t>
      </w:r>
      <w:r>
        <w:rPr>
          <w:sz w:val="28"/>
          <w:szCs w:val="28"/>
        </w:rPr>
        <w:t>系主任审核签名：</w:t>
      </w:r>
      <w:r>
        <w:rPr>
          <w:sz w:val="28"/>
          <w:szCs w:val="28"/>
        </w:rPr>
      </w:r>
    </w:p>
    <w:p>
      <w:pPr>
        <w:ind w:firstLine="840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审核时间：2021-12-30</w:t>
      </w:r>
      <w:r>
        <w:rPr>
          <w:sz w:val="28"/>
          <w:szCs w:val="28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800" w:top="1440" w:right="1800" w:bottom="144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KaiTi">
    <w:panose1 w:val="02010609060101010101"/>
    <w:charset w:val="86"/>
    <w:family w:val="modern"/>
    <w:pitch w:val="default"/>
  </w:font>
  <w:font w:name="SimHei">
    <w:panose1 w:val="02010609060101010101"/>
    <w:charset w:val="86"/>
    <w:family w:val="modern"/>
    <w:pitch w:val="default"/>
  </w:font>
  <w:font w:name="FangSong">
    <w:panose1 w:val="02010609060101010101"/>
    <w:charset w:val="86"/>
    <w:family w:val="modern"/>
    <w:pitch w:val="default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singleLevel"/>
    <w:name w:val="编号列表 1"/>
    <w:lvl w:ilvl="0">
      <w:start w:val="1"/>
      <w:numFmt w:val="decimal"/>
      <w:suff w:val="tab"/>
      <w:lvlText w:val="%1."/>
      <w:lvlJc w:val="left"/>
      <w:pPr>
        <w:ind w:left="0" w:hanging="0"/>
      </w:pPr>
      <w:rPr/>
    </w:lvl>
  </w:abstractNum>
  <w:abstractNum w:abstractNumId="2">
    <w:multiLevelType w:val="singleLevel"/>
    <w:name w:val="编号列表 2"/>
    <w:lvl w:ilvl="0">
      <w:start w:val="6"/>
      <w:numFmt w:val="chineseCounting"/>
      <w:suff w:val="nothing"/>
      <w:lvlText w:val="%1、"/>
      <w:lvlJc w:val="left"/>
      <w:pPr>
        <w:ind w:left="0" w:hanging="0"/>
      </w:pPr>
      <w:rPr/>
    </w:lvl>
  </w:abstractNum>
  <w:abstractNum w:abstractNumId="3">
    <w:multiLevelType w:val="singleLevel"/>
    <w:name w:val="编号列表 3"/>
    <w:lvl w:ilvl="0">
      <w:start w:val="1"/>
      <w:numFmt w:val="decimal"/>
      <w:suff w:val="tab"/>
      <w:lvlText w:val="%1."/>
      <w:lvlJc w:val="left"/>
      <w:pPr>
        <w:ind w:left="0" w:hanging="0"/>
      </w:pPr>
      <w:rPr/>
    </w:lvl>
  </w:abstractNum>
  <w:abstractNum w:abstractNumId="4">
    <w:multiLevelType w:val="singleLevel"/>
    <w:name w:val="编号列表 4"/>
    <w:lvl w:ilvl="0">
      <w:start w:val="1"/>
      <w:numFmt w:val="decimal"/>
      <w:suff w:val="tab"/>
      <w:lvlText w:val="%1."/>
      <w:lvlJc w:val="left"/>
      <w:pPr>
        <w:ind w:left="0" w:hanging="0"/>
      </w:pPr>
      <w:rPr/>
    </w:lvl>
  </w:abstractNum>
  <w:abstractNum w:abstractNumId="5">
    <w:multiLevelType w:val="singleLevel"/>
    <w:name w:val="编号列表 5"/>
    <w:lvl w:ilvl="0">
      <w:start w:val="1"/>
      <w:numFmt w:val="decimal"/>
      <w:suff w:val="tab"/>
      <w:lvlText w:val="%1."/>
      <w:lvlJc w:val="left"/>
      <w:pPr>
        <w:ind w:left="0" w:hanging="0"/>
      </w:pPr>
      <w:rPr/>
    </w:lvl>
  </w:abstractNum>
  <w:abstractNum w:abstractNumId="6">
    <w:multiLevelType w:val="singleLevel"/>
    <w:name w:val="Bullet 6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7">
    <w:multiLevelType w:val="singleLevel"/>
    <w:name w:val="Bullet 7"/>
    <w:lvl w:ilvl="0">
      <w:start w:val="6"/>
      <w:numFmt w:val="chineseCounting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9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3"/>
    <w:tmLastPosSelect w:val="0"/>
    <w:tmLastPosFrameIdx w:val="0"/>
    <w:tmLastPosCaret>
      <w:tmLastPosPgfIdx w:val="67"/>
      <w:tmLastPosIdx w:val="8"/>
    </w:tmLastPosCaret>
    <w:tmLastPosAnchor>
      <w:tmLastPosPgfIdx w:val="0"/>
      <w:tmLastPosIdx w:val="0"/>
    </w:tmLastPosAnchor>
    <w:tmLastPosTblRect w:left="0" w:top="0" w:right="0" w:bottom="0"/>
    <w:tmAppRevision w:date="1677802585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宋体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annotationtext" w:customStyle="1">
    <w:name w:val="annotation text"/>
    <w:qFormat/>
    <w:basedOn w:val=""/>
    <w:pPr>
      <w:spacing/>
      <w:jc w:val="left"/>
    </w:p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rFonts w:eastAsia="Calibri"/>
      <w:sz w:val="18"/>
      <w:szCs w:val="18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rFonts w:eastAsia="Calibri"/>
      <w:sz w:val="18"/>
      <w:szCs w:val="18"/>
    </w:rPr>
  </w:style>
  <w:style w:type="character" w:styleId="" w:default="1">
    <w:name w:val="Default Paragraph Font"/>
    <w:rPr>
      <w:rFonts w:eastAsia="Calibri"/>
      <w:kern w:val="0"/>
      <w:sz w:val="20"/>
      <w:szCs w:val="20"/>
    </w:rPr>
  </w:style>
  <w:style w:type="character" w:styleId="" w:customStyle="1">
    <w:name w:val="页眉 字符"/>
    <w:basedOn w:val=""/>
    <w:rPr>
      <w:sz w:val="18"/>
      <w:szCs w:val="18"/>
    </w:rPr>
  </w:style>
  <w:style w:type="character" w:styleId="" w:customStyle="1">
    <w:name w:val="页脚 字符"/>
    <w:basedOn w:val="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宋体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annotationtext" w:customStyle="1">
    <w:name w:val="annotation text"/>
    <w:qFormat/>
    <w:basedOn w:val=""/>
    <w:pPr>
      <w:spacing/>
      <w:jc w:val="left"/>
    </w:p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rFonts w:eastAsia="Calibri"/>
      <w:sz w:val="18"/>
      <w:szCs w:val="18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rFonts w:eastAsia="Calibri"/>
      <w:sz w:val="18"/>
      <w:szCs w:val="18"/>
    </w:rPr>
  </w:style>
  <w:style w:type="character" w:styleId="" w:default="1">
    <w:name w:val="Default Paragraph Font"/>
    <w:rPr>
      <w:rFonts w:eastAsia="Calibri"/>
      <w:kern w:val="0"/>
      <w:sz w:val="20"/>
      <w:szCs w:val="20"/>
    </w:rPr>
  </w:style>
  <w:style w:type="character" w:styleId="" w:customStyle="1">
    <w:name w:val="页眉 字符"/>
    <w:basedOn w:val=""/>
    <w:rPr>
      <w:sz w:val="18"/>
      <w:szCs w:val="18"/>
    </w:rPr>
  </w:style>
  <w:style w:type="character" w:styleId="" w:customStyle="1">
    <w:name w:val="页脚 字符"/>
    <w:basedOn w:val="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/>
  <cp:revision>15</cp:revision>
  <dcterms:created xsi:type="dcterms:W3CDTF">2016-12-19T07:34:00Z</dcterms:created>
  <dcterms:modified xsi:type="dcterms:W3CDTF">2023-03-03T08:16:25Z</dcterms:modified>
</cp:coreProperties>
</file>