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6" w:firstLineChars="1283"/>
        <w:rPr>
          <w:rFonts w:hint="eastAsia"/>
          <w:b/>
          <w:sz w:val="28"/>
          <w:szCs w:val="30"/>
          <w:highlight w:val="none"/>
        </w:rPr>
      </w:pP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hint="eastAsia"/>
          <w:b/>
          <w:sz w:val="28"/>
          <w:szCs w:val="30"/>
          <w:highlight w:val="none"/>
          <w:lang w:val="en-US" w:eastAsia="zh-CN"/>
        </w:rPr>
        <w:t>逻辑学</w:t>
      </w:r>
      <w:r>
        <w:rPr>
          <w:rFonts w:hint="eastAsia"/>
          <w:b/>
          <w:sz w:val="28"/>
          <w:szCs w:val="30"/>
          <w:highlight w:val="none"/>
        </w:rPr>
        <w:t>】</w:t>
      </w:r>
    </w:p>
    <w:p>
      <w:pPr>
        <w:ind w:firstLine="3952" w:firstLineChars="2079"/>
        <w:rPr>
          <w:b/>
          <w:bCs/>
          <w:sz w:val="30"/>
          <w:szCs w:val="30"/>
          <w:u w:val="none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9"/>
          <w:szCs w:val="19"/>
          <w:u w:val="none"/>
          <w:shd w:val="clear" w:fill="FFFFFF"/>
        </w:rPr>
        <w:instrText xml:space="preserve"> HYPERLINK "https://fanyi.so.com/?src=onebox" \l "logic" \t "https://www.so.com/_blank" </w:instrTex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9"/>
          <w:szCs w:val="19"/>
          <w:u w:val="none"/>
          <w:shd w:val="clear" w:fill="FFFFFF"/>
          <w:lang w:val="en-US" w:eastAsia="zh-CN"/>
        </w:rPr>
        <w:t>L</w:t>
      </w:r>
      <w:r>
        <w:rPr>
          <w:rStyle w:val="10"/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9"/>
          <w:szCs w:val="19"/>
          <w:u w:val="none"/>
          <w:shd w:val="clear" w:fill="FFFFFF"/>
        </w:rPr>
        <w:t>ogic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9"/>
          <w:szCs w:val="19"/>
          <w:u w:val="none"/>
          <w:shd w:val="clear" w:fill="FFFFFF"/>
        </w:rPr>
        <w:fldChar w:fldCharType="end"/>
      </w:r>
    </w:p>
    <w:p>
      <w:pPr>
        <w:snapToGrid w:val="0"/>
        <w:spacing w:line="288" w:lineRule="auto"/>
        <w:ind w:firstLine="472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课程学分：</w:t>
      </w:r>
      <w:r>
        <w:rPr>
          <w:rFonts w:hint="eastAsia" w:ascii="Calibri" w:hAnsi="Calibri" w:eastAsia="宋体"/>
          <w:color w:val="000000"/>
          <w:sz w:val="20"/>
          <w:szCs w:val="20"/>
          <w:lang w:val="en-US" w:eastAsia="zh-CN"/>
        </w:rPr>
        <w:t>2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面向专业：</w:t>
      </w:r>
      <w:r>
        <w:rPr>
          <w:rFonts w:hint="eastAsia" w:ascii="Calibri" w:hAnsi="Calibri"/>
          <w:b/>
          <w:bCs/>
          <w:color w:val="000000"/>
          <w:sz w:val="20"/>
          <w:szCs w:val="20"/>
          <w:lang w:val="en-US" w:eastAsia="zh-CN"/>
        </w:rPr>
        <w:t>金融工程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课程性质：</w:t>
      </w:r>
      <w:r>
        <w:rPr>
          <w:rFonts w:hint="eastAsia" w:ascii="Calibri" w:hAnsi="Calibri" w:eastAsia="宋体"/>
          <w:color w:val="000000"/>
          <w:sz w:val="20"/>
          <w:szCs w:val="20"/>
        </w:rPr>
        <w:t>通识教育</w:t>
      </w:r>
      <w:r>
        <w:rPr>
          <w:rFonts w:hint="eastAsia" w:ascii="Calibri" w:hAnsi="Calibri"/>
          <w:color w:val="000000"/>
          <w:sz w:val="20"/>
          <w:szCs w:val="20"/>
          <w:lang w:val="en-US" w:eastAsia="zh-CN"/>
        </w:rPr>
        <w:t>基础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b/>
          <w:bCs/>
          <w:color w:val="000000"/>
          <w:sz w:val="21"/>
          <w:szCs w:val="21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开课院系：</w:t>
      </w:r>
      <w:r>
        <w:rPr>
          <w:rFonts w:hint="eastAsia" w:ascii="Calibri" w:hAnsi="Calibri" w:eastAsia="宋体"/>
          <w:b w:val="0"/>
          <w:bCs w:val="0"/>
          <w:color w:val="000000"/>
          <w:sz w:val="20"/>
          <w:szCs w:val="20"/>
          <w:lang w:eastAsia="zh-CN"/>
        </w:rPr>
        <w:t>新闻传播学院</w:t>
      </w:r>
    </w:p>
    <w:p>
      <w:pPr>
        <w:ind w:left="0" w:leftChars="0" w:firstLine="402" w:firstLineChars="200"/>
        <w:rPr>
          <w:rFonts w:hint="eastAsia" w:ascii="黑体" w:hAnsi="黑体" w:eastAsia="黑体" w:cs="黑体"/>
          <w:b/>
          <w:bCs/>
          <w:color w:val="008080"/>
          <w:sz w:val="24"/>
          <w:szCs w:val="24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使用教材：</w:t>
      </w:r>
      <w:r>
        <w:rPr>
          <w:rFonts w:hint="eastAsia" w:ascii="Calibri" w:hAnsi="Calibri" w:eastAsia="宋体"/>
          <w:color w:val="000000"/>
          <w:sz w:val="20"/>
          <w:szCs w:val="20"/>
        </w:rPr>
        <w:t>《</w:t>
      </w:r>
      <w:r>
        <w:rPr>
          <w:rFonts w:hint="eastAsia" w:ascii="Calibri" w:hAnsi="Calibri"/>
          <w:color w:val="000000"/>
          <w:sz w:val="20"/>
          <w:szCs w:val="20"/>
          <w:lang w:val="en-US" w:eastAsia="zh-CN"/>
        </w:rPr>
        <w:t>逻辑学</w:t>
      </w:r>
      <w:r>
        <w:rPr>
          <w:rFonts w:hint="eastAsia" w:ascii="Calibri" w:hAnsi="Calibri" w:eastAsia="宋体"/>
          <w:color w:val="000000"/>
          <w:sz w:val="20"/>
          <w:szCs w:val="20"/>
        </w:rPr>
        <w:t>》</w:t>
      </w:r>
      <w:r>
        <w:rPr>
          <w:rFonts w:hint="eastAsia" w:ascii="Calibri" w:hAnsi="Calibri"/>
          <w:color w:val="000000"/>
          <w:sz w:val="20"/>
          <w:szCs w:val="20"/>
          <w:lang w:val="en-US" w:eastAsia="zh-CN"/>
        </w:rPr>
        <w:t>何向东、张建军、任晓明</w:t>
      </w:r>
      <w:r>
        <w:rPr>
          <w:rFonts w:hint="eastAsia" w:ascii="Calibri" w:hAnsi="Calibri" w:eastAsia="宋体"/>
          <w:color w:val="000000"/>
          <w:sz w:val="20"/>
          <w:szCs w:val="20"/>
          <w:lang w:val="en-US" w:eastAsia="zh-CN"/>
        </w:rPr>
        <w:t>，</w:t>
      </w:r>
      <w:r>
        <w:rPr>
          <w:rFonts w:hint="eastAsia" w:ascii="Calibri" w:hAnsi="Calibri"/>
          <w:color w:val="000000"/>
          <w:sz w:val="20"/>
          <w:szCs w:val="20"/>
          <w:lang w:val="en-US" w:eastAsia="zh-CN"/>
        </w:rPr>
        <w:t>高等教育</w:t>
      </w:r>
      <w:r>
        <w:rPr>
          <w:rFonts w:hint="eastAsia" w:ascii="Calibri" w:hAnsi="Calibri" w:eastAsia="宋体"/>
          <w:color w:val="000000"/>
          <w:sz w:val="20"/>
          <w:szCs w:val="20"/>
        </w:rPr>
        <w:t xml:space="preserve">出版社; 第1版 </w:t>
      </w:r>
      <w:r>
        <w:rPr>
          <w:rFonts w:hint="eastAsia" w:ascii="Calibri" w:hAnsi="Calibri"/>
          <w:color w:val="000000"/>
          <w:sz w:val="20"/>
          <w:szCs w:val="20"/>
          <w:lang w:val="en-US" w:eastAsia="zh-CN"/>
        </w:rPr>
        <w:t>2020</w:t>
      </w:r>
      <w:r>
        <w:rPr>
          <w:rFonts w:hint="eastAsia" w:ascii="Calibri" w:hAnsi="Calibri" w:eastAsia="宋体"/>
          <w:color w:val="000000"/>
          <w:sz w:val="20"/>
          <w:szCs w:val="20"/>
        </w:rPr>
        <w:t>年</w:t>
      </w:r>
      <w:r>
        <w:rPr>
          <w:rFonts w:hint="eastAsia" w:ascii="Calibri" w:hAnsi="Calibri"/>
          <w:color w:val="000000"/>
          <w:sz w:val="20"/>
          <w:szCs w:val="20"/>
          <w:lang w:val="en-US" w:eastAsia="zh-CN"/>
        </w:rPr>
        <w:t>6</w:t>
      </w:r>
      <w:r>
        <w:rPr>
          <w:rFonts w:hint="eastAsia" w:ascii="Calibri" w:hAnsi="Calibri" w:eastAsia="宋体"/>
          <w:color w:val="000000"/>
          <w:sz w:val="20"/>
          <w:szCs w:val="20"/>
        </w:rPr>
        <w:t>月1日</w:t>
      </w:r>
    </w:p>
    <w:p>
      <w:pPr>
        <w:snapToGrid w:val="0"/>
        <w:spacing w:line="288" w:lineRule="auto"/>
        <w:ind w:firstLine="394" w:firstLineChars="196"/>
        <w:rPr>
          <w:rFonts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b/>
          <w:bCs/>
          <w:color w:val="000000"/>
          <w:sz w:val="20"/>
          <w:szCs w:val="20"/>
        </w:rPr>
        <w:t>课程代码：</w:t>
      </w:r>
      <w:r>
        <w:rPr>
          <w:rFonts w:ascii="宋体" w:hAnsi="宋体" w:eastAsia="宋体" w:cs="宋体"/>
          <w:sz w:val="24"/>
          <w:szCs w:val="24"/>
        </w:rPr>
        <w:t>2030576</w:t>
      </w:r>
    </w:p>
    <w:p>
      <w:pPr>
        <w:rPr>
          <w:kern w:val="0"/>
        </w:rPr>
      </w:pPr>
      <w:r>
        <w:rPr>
          <w:rFonts w:hint="eastAsia" w:ascii="Calibri" w:hAnsi="Calibri"/>
          <w:color w:val="000000"/>
          <w:sz w:val="20"/>
          <w:szCs w:val="20"/>
          <w:lang w:val="en-US" w:eastAsia="zh-CN"/>
        </w:rPr>
        <w:t>辅助教材：</w:t>
      </w:r>
      <w:r>
        <w:rPr>
          <w:rFonts w:hint="eastAsia"/>
        </w:rPr>
        <w:t>1.</w:t>
      </w:r>
      <w:r>
        <w:rPr>
          <w:rFonts w:hint="eastAsia"/>
          <w:kern w:val="0"/>
        </w:rPr>
        <w:t>《哲学导论》，王德峰，上海人民出版社；哲学导论；</w:t>
      </w:r>
    </w:p>
    <w:p>
      <w:pPr>
        <w:rPr>
          <w:kern w:val="0"/>
        </w:rPr>
      </w:pPr>
      <w:r>
        <w:rPr>
          <w:rFonts w:hint="eastAsia"/>
          <w:kern w:val="0"/>
        </w:rPr>
        <w:t>2.《智慧之光——世界十大思想家》，王德峰、吴晓明，上海古籍出版社；</w:t>
      </w:r>
    </w:p>
    <w:p>
      <w:r>
        <w:rPr>
          <w:rFonts w:hint="eastAsia"/>
          <w:kern w:val="0"/>
        </w:rPr>
        <w:t>3.《思想家》，[英] 麦基，三联书店；</w:t>
      </w:r>
    </w:p>
    <w:p>
      <w:pPr>
        <w:rPr>
          <w:rFonts w:hint="eastAsia"/>
          <w:kern w:val="0"/>
        </w:rPr>
      </w:pPr>
      <w:r>
        <w:rPr>
          <w:rFonts w:hint="eastAsia"/>
          <w:kern w:val="0"/>
        </w:rPr>
        <w:t>4.《理想的冲突》，[美]宾克莱，商务印书馆；</w:t>
      </w:r>
    </w:p>
    <w:p>
      <w:pPr>
        <w:jc w:val="left"/>
        <w:rPr>
          <w:rFonts w:hint="eastAsia"/>
          <w:b w:val="0"/>
          <w:bCs w:val="0"/>
          <w:kern w:val="0"/>
        </w:rPr>
      </w:pPr>
      <w:r>
        <w:rPr>
          <w:rFonts w:hint="eastAsia"/>
          <w:b/>
          <w:bCs/>
          <w:lang w:val="en-US" w:eastAsia="zh-CN"/>
        </w:rPr>
        <w:t>课程网站网址</w:t>
      </w:r>
      <w:r>
        <w:rPr>
          <w:b/>
          <w:bCs/>
        </w:rPr>
        <w:t>：</w:t>
      </w:r>
      <w:r>
        <w:rPr>
          <w:rFonts w:hint="eastAsia"/>
          <w:b w:val="0"/>
          <w:bCs w:val="0"/>
        </w:rPr>
        <w:t>https://elearning.gench.edu.cn:8443/webapps/portal/execute/tabs/tabAction</w:t>
      </w:r>
    </w:p>
    <w:p>
      <w:r>
        <w:rPr>
          <w:b/>
          <w:bCs/>
        </w:rPr>
        <w:t>先修课程</w:t>
      </w:r>
      <w:r>
        <w:t>：</w:t>
      </w:r>
      <w:r>
        <w:rPr>
          <w:rFonts w:hint="eastAsia"/>
        </w:rPr>
        <w:t>无</w:t>
      </w:r>
    </w:p>
    <w:p>
      <w:pPr>
        <w:numPr>
          <w:ilvl w:val="0"/>
          <w:numId w:val="1"/>
        </w:numPr>
        <w:snapToGrid w:val="0"/>
        <w:spacing w:line="288" w:lineRule="auto"/>
        <w:ind w:left="0" w:leftChars="0" w:firstLine="0" w:firstLineChars="0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课程简介</w:t>
      </w:r>
    </w:p>
    <w:p>
      <w:pPr>
        <w:widowControl/>
        <w:spacing w:before="156" w:beforeLines="50" w:after="156" w:afterLines="50" w:line="288" w:lineRule="auto"/>
        <w:ind w:left="0" w:leftChars="0" w:firstLine="400" w:firstLineChars="200"/>
        <w:jc w:val="left"/>
        <w:rPr>
          <w:rFonts w:hint="eastAsia" w:ascii="Calibri" w:hAnsi="Calibri" w:eastAsia="宋体"/>
          <w:color w:val="000000"/>
          <w:sz w:val="20"/>
          <w:szCs w:val="20"/>
        </w:rPr>
      </w:pPr>
      <w:r>
        <w:rPr>
          <w:rFonts w:hint="eastAsia" w:ascii="Calibri" w:hAnsi="Calibri" w:eastAsia="宋体"/>
          <w:color w:val="000000"/>
          <w:sz w:val="20"/>
          <w:szCs w:val="20"/>
        </w:rPr>
        <w:t>《</w:t>
      </w:r>
      <w:r>
        <w:rPr>
          <w:rFonts w:hint="eastAsia" w:ascii="Calibri" w:hAnsi="Calibri"/>
          <w:color w:val="000000"/>
          <w:sz w:val="20"/>
          <w:szCs w:val="20"/>
          <w:lang w:val="en-US" w:eastAsia="zh-CN"/>
        </w:rPr>
        <w:t>逻辑学</w:t>
      </w:r>
      <w:r>
        <w:rPr>
          <w:rFonts w:hint="eastAsia" w:ascii="Calibri" w:hAnsi="Calibri" w:eastAsia="宋体"/>
          <w:color w:val="000000"/>
          <w:sz w:val="20"/>
          <w:szCs w:val="20"/>
        </w:rPr>
        <w:t>》</w:t>
      </w:r>
      <w:r>
        <w:rPr>
          <w:rFonts w:hint="eastAsia" w:ascii="Calibri" w:hAnsi="Calibri"/>
          <w:color w:val="000000"/>
          <w:sz w:val="20"/>
          <w:szCs w:val="20"/>
          <w:lang w:val="en-US" w:eastAsia="zh-CN"/>
        </w:rPr>
        <w:t>是一门工具性的学科，金融工程类学生的工作其中一个特点就是与人（客户）打交道，表达和理解就特别重要，本课程对于金融工程类学生更好的思维、更好地表达自己的想法、更好的理解他人的意图以及更好地理解经济法律、法规的各种表述有着重要的作用，课程通过逻辑学个批判性思维知识点的学习，使得学生1、系统掌握分析、评估论证的方法； 2、提高理解能力和论说水平。同时本课程注重</w:t>
      </w:r>
      <w:r>
        <w:rPr>
          <w:rFonts w:hint="eastAsia" w:ascii="Calibri" w:hAnsi="Calibri" w:eastAsia="宋体"/>
          <w:color w:val="000000"/>
          <w:sz w:val="20"/>
          <w:szCs w:val="20"/>
        </w:rPr>
        <w:t>增强学科的适应性和启发性及趣味性，突出</w:t>
      </w:r>
      <w:r>
        <w:rPr>
          <w:rFonts w:hint="eastAsia" w:ascii="Calibri" w:hAnsi="Calibri"/>
          <w:color w:val="000000"/>
          <w:sz w:val="20"/>
          <w:szCs w:val="20"/>
          <w:lang w:val="en-US" w:eastAsia="zh-CN"/>
        </w:rPr>
        <w:t>逻辑学和批判性思维</w:t>
      </w:r>
      <w:r>
        <w:rPr>
          <w:rFonts w:hint="eastAsia" w:ascii="Calibri" w:hAnsi="Calibri" w:eastAsia="宋体"/>
          <w:color w:val="000000"/>
          <w:sz w:val="20"/>
          <w:szCs w:val="20"/>
        </w:rPr>
        <w:t>的应用性和思辨性，课堂中理论知识的讲解，简明扼要，深入浅出，且实例与练习丰富。本课程富有生活气息、充满趣味。</w:t>
      </w:r>
    </w:p>
    <w:p>
      <w:pPr>
        <w:widowControl/>
        <w:spacing w:before="156" w:beforeLines="50" w:after="156" w:afterLines="50" w:line="288" w:lineRule="auto"/>
        <w:ind w:left="0" w:leftChars="0" w:firstLine="0" w:firstLineChars="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三、选课建议</w:t>
      </w:r>
    </w:p>
    <w:p>
      <w:pPr>
        <w:ind w:firstLine="400" w:firstLineChars="200"/>
      </w:pPr>
      <w:r>
        <w:rPr>
          <w:rFonts w:hint="eastAsia"/>
        </w:rPr>
        <w:t>适合大学生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年级非哲学专业学生学习</w:t>
      </w:r>
    </w:p>
    <w:p>
      <w:pPr>
        <w:widowControl/>
        <w:spacing w:before="156" w:beforeLines="50" w:after="156" w:afterLines="50" w:line="288" w:lineRule="auto"/>
        <w:ind w:left="0" w:leftChars="0" w:firstLine="0" w:firstLineChars="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四、课程目标/课程预期学习成果</w:t>
      </w:r>
    </w:p>
    <w:tbl>
      <w:tblPr>
        <w:tblStyle w:val="6"/>
        <w:tblpPr w:leftFromText="180" w:rightFromText="180" w:vertAnchor="text" w:horzAnchor="page" w:tblpX="2087" w:tblpY="871"/>
        <w:tblOverlap w:val="never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4"/>
        <w:gridCol w:w="2468"/>
        <w:gridCol w:w="219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序</w:t>
            </w:r>
            <w:r>
              <w:rPr>
                <w:rFonts w:hint="eastAsia" w:ascii="Calibri" w:hAnsi="Calibri"/>
                <w:b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112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应用书面或口头形式，多层次多方位表达自己的观点，有效沟通。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思维和论证知识，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课堂互动、小练习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课堂、课后练习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212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批判性思维与批判性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阅读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知识通过理论讲解，和学生实践。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期终课程论文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>LO513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批判性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推理复杂问题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小视频讲解，案例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分析、讲解、课堂互动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课堂、课后练习</w:t>
            </w:r>
          </w:p>
        </w:tc>
      </w:tr>
    </w:tbl>
    <w:p>
      <w:pPr>
        <w:snapToGrid w:val="0"/>
        <w:spacing w:line="288" w:lineRule="auto"/>
        <w:rPr>
          <w:rFonts w:hint="eastAsia" w:ascii="黑体" w:hAnsi="宋体" w:eastAsia="黑体"/>
          <w:sz w:val="24"/>
          <w:szCs w:val="22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szCs w:val="22"/>
        </w:rPr>
      </w:pPr>
    </w:p>
    <w:p/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六、课程内容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单元</w:t>
            </w:r>
          </w:p>
        </w:tc>
        <w:tc>
          <w:tcPr>
            <w:tcW w:w="2130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知识点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能力要求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1.逻辑学和批判性思维定义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1.知道</w:t>
            </w:r>
            <w:r>
              <w:rPr>
                <w:rFonts w:hint="eastAsia"/>
                <w:vertAlign w:val="baseline"/>
              </w:rPr>
              <w:t>专业培养目标</w:t>
            </w:r>
            <w:r>
              <w:rPr>
                <w:rFonts w:hint="eastAsia"/>
                <w:vertAlign w:val="baseline"/>
                <w:lang w:val="en-US" w:eastAsia="zh-CN"/>
              </w:rPr>
              <w:t>和逻辑</w:t>
            </w:r>
            <w:r>
              <w:rPr>
                <w:rFonts w:hint="eastAsia"/>
                <w:vertAlign w:val="baseline"/>
              </w:rPr>
              <w:t>课程教学目标</w:t>
            </w:r>
            <w:r>
              <w:rPr>
                <w:rFonts w:hint="eastAsia"/>
                <w:vertAlign w:val="baseline"/>
                <w:lang w:val="en-US" w:eastAsia="zh-CN"/>
              </w:rPr>
              <w:t>的关系。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2.了解逻辑课程所教各知识点。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3.应用批判性思维论概念知识分析热点问题中存在的思维问题。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1.能讲述本课程与金融工程专业的关系。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2.能列举本逻辑课程的知识点。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3.能与他人讨论热点问题中存在的批判性思维现象。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让学生认可逻辑学这种理论性较强的课，并能静心听讲、积极参与讨论。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2思维活动中的论证和推理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1.知道批判性思维在批判性阅读中的作用。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2.理解批判性思维中论证的结构。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3.了解充足性在批判性思维中的作用</w:t>
            </w: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1.能在</w:t>
            </w:r>
            <w:r>
              <w:rPr>
                <w:rFonts w:hint="eastAsia"/>
                <w:vertAlign w:val="baseline"/>
                <w:lang w:val="en-US" w:eastAsia="zh-CN"/>
              </w:rPr>
              <w:t>给定案例中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倾听客户的需求和诉求点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设计自己问题思维中的各个问题。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2.用批判性思维模型阅读思考并辨别给定文章中的关键问题。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.激发学生对批判性思维和阅读的兴趣。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3思维和论证的概念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知道概念的本质。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分析概念的种类。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3.理解定义和划分的异同，</w:t>
            </w:r>
            <w:r>
              <w:rPr>
                <w:rFonts w:hint="eastAsia"/>
                <w:vertAlign w:val="baseline"/>
              </w:rPr>
              <w:t xml:space="preserve">    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1.能主动辨别语言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4.能描述概念种类。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1.概念在批判性思维中的重要性。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、</w:t>
            </w:r>
            <w:r>
              <w:rPr>
                <w:rFonts w:hint="eastAsia"/>
                <w:vertAlign w:val="baseline"/>
                <w:lang w:val="en-US" w:eastAsia="zh-CN"/>
              </w:rPr>
              <w:t>前提真实性的思考</w:t>
            </w:r>
            <w:r>
              <w:rPr>
                <w:rFonts w:hint="eastAsia"/>
                <w:vertAlign w:val="baseline"/>
              </w:rPr>
              <w:t xml:space="preserve">   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1、</w:t>
            </w:r>
            <w:r>
              <w:rPr>
                <w:rFonts w:hint="eastAsia"/>
                <w:vertAlign w:val="baseline"/>
                <w:lang w:val="en-US" w:eastAsia="zh-CN"/>
              </w:rPr>
              <w:t>了解判断的含义。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2.了解什么是直言判断</w:t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能阐释判断含义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  <w:t>有质疑精神，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  <w:t>逻辑分析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法为破窗效应的合理性作出辩护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对纯理论性的逻辑学知识的认可。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5、演绎推理、归纳推理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1.理解归纳和演绎的异同</w:t>
            </w:r>
            <w:r>
              <w:rPr>
                <w:rFonts w:hint="eastAsia"/>
                <w:vertAlign w:val="baseline"/>
              </w:rPr>
              <w:t>。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2.分析评价各种归纳法的优缺点。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会使用归纳法、演绎法</w:t>
            </w:r>
            <w:r>
              <w:rPr>
                <w:rFonts w:hint="eastAsia"/>
                <w:vertAlign w:val="baseline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懂得如何选择各种推理方法。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对归纳法的有效性和有用性的理解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6.诡辩与谬误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1.了解生活中无处不在的诡辩和谬误的种类。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2.分析诡辩和谬误的破绽。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1.能分辨生活中无处不在的诡辩和谬误的种类。</w:t>
            </w:r>
          </w:p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2.分析诡辩和谬误的破绽。3.利用知识点</w:t>
            </w:r>
            <w:r>
              <w:rPr>
                <w:rFonts w:hint="eastAsia"/>
                <w:color w:val="000000"/>
                <w:szCs w:val="21"/>
              </w:rPr>
              <w:t>比较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竞争与合作的使用前提。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1.竞争与合作在博弈中的作用的理解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7.深入思考;洞悉和假设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1.分析假设的核心要点是什么？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2.综合评价假设的基本原则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1能分析假设的核心要点。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2.综合评价庄家和散户的关系。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难点：假设作用的理解。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8.批判性写作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1.深刻洞悉写作的目的。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2写作中的批判性思维问题和逻辑论证问题。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1.能顺利书面表达自己要表述的观点、诉求等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在生活中敏锐感知每次写作的目的。</w:t>
            </w:r>
          </w:p>
        </w:tc>
      </w:tr>
    </w:tbl>
    <w:p>
      <w:r>
        <w:rPr>
          <w:rFonts w:hint="eastAsia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黑体"/>
          <w:sz w:val="24"/>
          <w:szCs w:val="24"/>
        </w:rPr>
        <w:t>、评价方式与成绩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40"/>
        <w:gridCol w:w="2155"/>
        <w:gridCol w:w="193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过程考核</w:t>
            </w:r>
            <w:r>
              <w:rPr>
                <w:kern w:val="0"/>
                <w:sz w:val="21"/>
                <w:szCs w:val="21"/>
              </w:rPr>
              <w:t>1</w:t>
            </w:r>
          </w:p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X1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过程考核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X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过程考核</w:t>
            </w:r>
            <w:r>
              <w:rPr>
                <w:kern w:val="0"/>
                <w:sz w:val="21"/>
                <w:szCs w:val="21"/>
              </w:rPr>
              <w:t>1</w:t>
            </w:r>
          </w:p>
          <w:p>
            <w:pPr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X3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期末考试（1）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考核形式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批判性阅读分析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根据实际案例对批判性思维进行要素练习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根据实际案例进行批判性思维分析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占总评成绩的比例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  <w:r>
              <w:rPr>
                <w:sz w:val="21"/>
                <w:szCs w:val="21"/>
              </w:rPr>
              <w:t>%</w:t>
            </w:r>
          </w:p>
        </w:tc>
      </w:tr>
    </w:tbl>
    <w:p/>
    <w:p/>
    <w:p>
      <w:pPr>
        <w:rPr>
          <w:sz w:val="24"/>
          <w:szCs w:val="24"/>
        </w:rPr>
      </w:pP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撰写：  </w:t>
      </w:r>
      <w:r>
        <w:rPr>
          <w:sz w:val="28"/>
          <w:szCs w:val="28"/>
        </w:rPr>
        <w:drawing>
          <wp:inline distT="0" distB="0" distL="0" distR="0">
            <wp:extent cx="393065" cy="245110"/>
            <wp:effectExtent l="0" t="0" r="6985" b="2540"/>
            <wp:docPr id="2" name="图片 2" descr="C:\Users\ADMINI~1\AppData\Local\Temp\WeChat Files\b16b8587ed1be09f5e5279f8eaf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b16b8587ed1be09f5e5279f8eaf46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902" cy="25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      系主任审核：</w:t>
      </w:r>
      <w:r>
        <w:rPr>
          <w:rFonts w:hint="eastAsia"/>
          <w:sz w:val="24"/>
          <w:szCs w:val="24"/>
          <w:lang w:val="en-US" w:eastAsia="zh-CN"/>
        </w:rPr>
        <w:t>马莹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2023年1月21日</w:t>
      </w:r>
    </w:p>
    <w:p>
      <w:pPr>
        <w:snapToGrid w:val="0"/>
        <w:spacing w:line="288" w:lineRule="auto"/>
        <w:ind w:left="0" w:leftChars="0" w:firstLine="0" w:firstLineChars="0"/>
        <w:rPr>
          <w:rFonts w:hint="eastAsia" w:ascii="宋体" w:hAnsi="宋体" w:eastAsia="宋体"/>
          <w:sz w:val="20"/>
          <w:szCs w:val="20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361" w:bottom="1191" w:left="1474" w:header="851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r>
      <w:rPr>
        <w:rFonts w:hint="eastAsia"/>
      </w:rPr>
      <w:t>注：教学大纲电子版公布在本学院课程网站上，并发送到教务处存档。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  <w:jc w:val="both"/>
    </w:pPr>
    <w:r>
      <w:rPr>
        <w:rFonts w:hint="eastAsia" w:ascii="宋体" w:hAnsi="宋体" w:eastAsia="宋体"/>
        <w:spacing w:val="20"/>
        <w:sz w:val="24"/>
        <w:szCs w:val="24"/>
      </w:rPr>
      <w:t>SJQU-</w:t>
    </w:r>
    <w:r>
      <w:rPr>
        <w:rFonts w:ascii="宋体" w:hAnsi="宋体" w:eastAsia="宋体"/>
        <w:spacing w:val="20"/>
        <w:sz w:val="24"/>
        <w:szCs w:val="24"/>
      </w:rPr>
      <w:t>Q</w:t>
    </w:r>
    <w:r>
      <w:rPr>
        <w:rFonts w:hint="eastAsia" w:ascii="宋体" w:hAnsi="宋体"/>
        <w:spacing w:val="20"/>
        <w:sz w:val="24"/>
        <w:szCs w:val="24"/>
        <w:lang w:val="en-US" w:eastAsia="zh-CN"/>
      </w:rPr>
      <w:t>R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JW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ascii="宋体" w:hAnsi="宋体" w:eastAsia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  <w:lang w:val="en-US" w:eastAsia="zh-CN"/>
      </w:rPr>
      <w:t>26</w:t>
    </w:r>
    <w:r>
      <w:rPr>
        <w:rFonts w:hint="eastAsia" w:ascii="宋体" w:hAnsi="宋体" w:eastAsia="宋体"/>
        <w:spacing w:val="20"/>
        <w:sz w:val="24"/>
        <w:szCs w:val="24"/>
      </w:rPr>
      <w:t>（A</w:t>
    </w:r>
    <w:r>
      <w:rPr>
        <w:rFonts w:ascii="宋体" w:hAnsi="宋体" w:eastAsia="宋体"/>
        <w:spacing w:val="20"/>
        <w:sz w:val="24"/>
        <w:szCs w:val="24"/>
      </w:rPr>
      <w:t>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ADC75"/>
    <w:multiLevelType w:val="singleLevel"/>
    <w:tmpl w:val="468ADC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A1F794"/>
    <w:multiLevelType w:val="singleLevel"/>
    <w:tmpl w:val="5AA1F794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69332DF"/>
    <w:multiLevelType w:val="singleLevel"/>
    <w:tmpl w:val="669332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ViN2ZlYjU4MDVhZTU0MDA3MjkxZjY5NjkwMWQ2ZTUifQ=="/>
  </w:docVars>
  <w:rsids>
    <w:rsidRoot w:val="006F1EF5"/>
    <w:rsid w:val="0000262E"/>
    <w:rsid w:val="00020106"/>
    <w:rsid w:val="00026460"/>
    <w:rsid w:val="00055EBA"/>
    <w:rsid w:val="000673CF"/>
    <w:rsid w:val="00090FAE"/>
    <w:rsid w:val="00125C1E"/>
    <w:rsid w:val="001307A8"/>
    <w:rsid w:val="00134662"/>
    <w:rsid w:val="00141020"/>
    <w:rsid w:val="00151E3A"/>
    <w:rsid w:val="001776B9"/>
    <w:rsid w:val="001A4F83"/>
    <w:rsid w:val="001A5427"/>
    <w:rsid w:val="001C54E4"/>
    <w:rsid w:val="001E1C7F"/>
    <w:rsid w:val="00202979"/>
    <w:rsid w:val="00202F4A"/>
    <w:rsid w:val="00205691"/>
    <w:rsid w:val="00256EDB"/>
    <w:rsid w:val="002634A1"/>
    <w:rsid w:val="0026543E"/>
    <w:rsid w:val="002C436C"/>
    <w:rsid w:val="00300E03"/>
    <w:rsid w:val="0031179D"/>
    <w:rsid w:val="00315E89"/>
    <w:rsid w:val="00330401"/>
    <w:rsid w:val="00330419"/>
    <w:rsid w:val="003355D1"/>
    <w:rsid w:val="00346C56"/>
    <w:rsid w:val="00365541"/>
    <w:rsid w:val="00372463"/>
    <w:rsid w:val="00387183"/>
    <w:rsid w:val="003B3D68"/>
    <w:rsid w:val="003D779A"/>
    <w:rsid w:val="003F1CC6"/>
    <w:rsid w:val="004257C5"/>
    <w:rsid w:val="004402B5"/>
    <w:rsid w:val="0044644B"/>
    <w:rsid w:val="00450AD1"/>
    <w:rsid w:val="00471FC4"/>
    <w:rsid w:val="0047424F"/>
    <w:rsid w:val="004949DC"/>
    <w:rsid w:val="00495DEF"/>
    <w:rsid w:val="004D27F9"/>
    <w:rsid w:val="0051211E"/>
    <w:rsid w:val="00520C65"/>
    <w:rsid w:val="0054413F"/>
    <w:rsid w:val="00544DCA"/>
    <w:rsid w:val="00585959"/>
    <w:rsid w:val="005C375A"/>
    <w:rsid w:val="005D539E"/>
    <w:rsid w:val="005D7251"/>
    <w:rsid w:val="00607749"/>
    <w:rsid w:val="00616A2F"/>
    <w:rsid w:val="0063700B"/>
    <w:rsid w:val="0063732C"/>
    <w:rsid w:val="00655EE7"/>
    <w:rsid w:val="006617D8"/>
    <w:rsid w:val="0067063F"/>
    <w:rsid w:val="00683AD6"/>
    <w:rsid w:val="006A1A83"/>
    <w:rsid w:val="006B02B5"/>
    <w:rsid w:val="006C2E7E"/>
    <w:rsid w:val="006E5CAD"/>
    <w:rsid w:val="006F1EF5"/>
    <w:rsid w:val="006F4DF7"/>
    <w:rsid w:val="00707550"/>
    <w:rsid w:val="00721CBA"/>
    <w:rsid w:val="00724190"/>
    <w:rsid w:val="00741D4A"/>
    <w:rsid w:val="00744C4E"/>
    <w:rsid w:val="007A33B9"/>
    <w:rsid w:val="007C48AE"/>
    <w:rsid w:val="007D5726"/>
    <w:rsid w:val="007D600D"/>
    <w:rsid w:val="007F16D0"/>
    <w:rsid w:val="0083755D"/>
    <w:rsid w:val="008C1FDB"/>
    <w:rsid w:val="00907FDB"/>
    <w:rsid w:val="00933102"/>
    <w:rsid w:val="00943DEF"/>
    <w:rsid w:val="00950881"/>
    <w:rsid w:val="00963D30"/>
    <w:rsid w:val="00975AFA"/>
    <w:rsid w:val="00987C5B"/>
    <w:rsid w:val="009A59CF"/>
    <w:rsid w:val="009C7503"/>
    <w:rsid w:val="009D37A1"/>
    <w:rsid w:val="00A22483"/>
    <w:rsid w:val="00A312A5"/>
    <w:rsid w:val="00A40438"/>
    <w:rsid w:val="00A40665"/>
    <w:rsid w:val="00A45B5F"/>
    <w:rsid w:val="00A90778"/>
    <w:rsid w:val="00A91997"/>
    <w:rsid w:val="00AB47DF"/>
    <w:rsid w:val="00AC52B5"/>
    <w:rsid w:val="00AE5FC8"/>
    <w:rsid w:val="00AF20EC"/>
    <w:rsid w:val="00B3314E"/>
    <w:rsid w:val="00B400BA"/>
    <w:rsid w:val="00B64DC8"/>
    <w:rsid w:val="00B75830"/>
    <w:rsid w:val="00B770C0"/>
    <w:rsid w:val="00B9301A"/>
    <w:rsid w:val="00B962AE"/>
    <w:rsid w:val="00BB7C3C"/>
    <w:rsid w:val="00BD38DB"/>
    <w:rsid w:val="00BD45B6"/>
    <w:rsid w:val="00BF12AB"/>
    <w:rsid w:val="00C016A0"/>
    <w:rsid w:val="00C11CF6"/>
    <w:rsid w:val="00C44D17"/>
    <w:rsid w:val="00C76312"/>
    <w:rsid w:val="00C847B5"/>
    <w:rsid w:val="00CC0883"/>
    <w:rsid w:val="00CC16DA"/>
    <w:rsid w:val="00CD0D92"/>
    <w:rsid w:val="00CD356D"/>
    <w:rsid w:val="00CE78C5"/>
    <w:rsid w:val="00D10E34"/>
    <w:rsid w:val="00D13FE5"/>
    <w:rsid w:val="00D4117C"/>
    <w:rsid w:val="00D4471C"/>
    <w:rsid w:val="00D5188B"/>
    <w:rsid w:val="00D60930"/>
    <w:rsid w:val="00D658EC"/>
    <w:rsid w:val="00D80AF5"/>
    <w:rsid w:val="00D942DA"/>
    <w:rsid w:val="00DA67DD"/>
    <w:rsid w:val="00DB206F"/>
    <w:rsid w:val="00DC2BDB"/>
    <w:rsid w:val="00E02ECD"/>
    <w:rsid w:val="00E32596"/>
    <w:rsid w:val="00E4185F"/>
    <w:rsid w:val="00E46E66"/>
    <w:rsid w:val="00E665A1"/>
    <w:rsid w:val="00E72799"/>
    <w:rsid w:val="00EA323E"/>
    <w:rsid w:val="00EA3F38"/>
    <w:rsid w:val="00EA562B"/>
    <w:rsid w:val="00F00598"/>
    <w:rsid w:val="00F00C83"/>
    <w:rsid w:val="00F314E7"/>
    <w:rsid w:val="00F528D0"/>
    <w:rsid w:val="00F70CA1"/>
    <w:rsid w:val="00F72CBD"/>
    <w:rsid w:val="00F86B28"/>
    <w:rsid w:val="00FD3D8C"/>
    <w:rsid w:val="02502346"/>
    <w:rsid w:val="049F2E76"/>
    <w:rsid w:val="04C01587"/>
    <w:rsid w:val="058A6F32"/>
    <w:rsid w:val="07EF31C8"/>
    <w:rsid w:val="081D2ED0"/>
    <w:rsid w:val="09287B02"/>
    <w:rsid w:val="0E3C686C"/>
    <w:rsid w:val="0F2273BA"/>
    <w:rsid w:val="14E43091"/>
    <w:rsid w:val="15AF0F18"/>
    <w:rsid w:val="16521D29"/>
    <w:rsid w:val="1A096775"/>
    <w:rsid w:val="1AF6168A"/>
    <w:rsid w:val="204C741A"/>
    <w:rsid w:val="220423B7"/>
    <w:rsid w:val="23E27E47"/>
    <w:rsid w:val="262A3CA5"/>
    <w:rsid w:val="272547A8"/>
    <w:rsid w:val="276D5112"/>
    <w:rsid w:val="279A5CC3"/>
    <w:rsid w:val="2A8D09BB"/>
    <w:rsid w:val="2AD20352"/>
    <w:rsid w:val="2BD643F7"/>
    <w:rsid w:val="2FA24770"/>
    <w:rsid w:val="32FE2331"/>
    <w:rsid w:val="3E1F09B7"/>
    <w:rsid w:val="3FC60044"/>
    <w:rsid w:val="40DB14BA"/>
    <w:rsid w:val="4349424C"/>
    <w:rsid w:val="490D4C95"/>
    <w:rsid w:val="49EF40F7"/>
    <w:rsid w:val="4BF26EE3"/>
    <w:rsid w:val="50AA3D98"/>
    <w:rsid w:val="59240A82"/>
    <w:rsid w:val="5BF230AF"/>
    <w:rsid w:val="5E3036ED"/>
    <w:rsid w:val="5F11185C"/>
    <w:rsid w:val="60E9228D"/>
    <w:rsid w:val="642E4B96"/>
    <w:rsid w:val="64A358AC"/>
    <w:rsid w:val="64A853AC"/>
    <w:rsid w:val="652E6C01"/>
    <w:rsid w:val="652F4E53"/>
    <w:rsid w:val="70275B9E"/>
    <w:rsid w:val="714018CF"/>
    <w:rsid w:val="72803449"/>
    <w:rsid w:val="730878BB"/>
    <w:rsid w:val="73E936ED"/>
    <w:rsid w:val="7B4D0E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288" w:lineRule="auto"/>
      <w:ind w:firstLine="400" w:firstLineChars="200"/>
      <w:jc w:val="both"/>
    </w:pPr>
    <w:rPr>
      <w:rFonts w:ascii="Times New Roman" w:hAnsi="Times New Roman" w:eastAsia="宋体" w:cs="Times New Roman"/>
      <w:color w:val="000000"/>
      <w:kern w:val="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uiPriority w:val="0"/>
    <w:rPr>
      <w:color w:val="0000FF"/>
      <w:u w:val="single"/>
    </w:rPr>
  </w:style>
  <w:style w:type="character" w:customStyle="1" w:styleId="11">
    <w:name w:val="short_text"/>
    <w:basedOn w:val="8"/>
    <w:qFormat/>
    <w:uiPriority w:val="0"/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widowControl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thtfpc</Company>
  <Pages>3</Pages>
  <Words>1651</Words>
  <Characters>1802</Characters>
  <Lines>79</Lines>
  <Paragraphs>22</Paragraphs>
  <TotalTime>0</TotalTime>
  <ScaleCrop>false</ScaleCrop>
  <LinksUpToDate>false</LinksUpToDate>
  <CharactersWithSpaces>1844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2017-03-02T11:45:00Z</dcterms:created>
  <dc:creator>thtfpc user</dc:creator>
  <cp:lastModifiedBy>GENCH</cp:lastModifiedBy>
  <cp:lastPrinted>2021-02-27T08:19:00Z</cp:lastPrinted>
  <dcterms:modified xsi:type="dcterms:W3CDTF">2023-02-22T11:50:29Z</dcterms:modified>
  <dc:title>上海建桥学院本科课程教学大纲模板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AF5B004EFA9448BFB8B9D75127E57F0E</vt:lpwstr>
  </property>
</Properties>
</file>