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2"/>
        <w:jc w:val="center"/>
        <w:rPr>
          <w:sz w:val="28"/>
          <w:szCs w:val="28"/>
        </w:rPr>
      </w:pPr>
      <w:r>
        <w:rPr>
          <w:rFonts w:hint="eastAsia" w:ascii="宋体" w:hAnsi="宋体"/>
          <w:sz w:val="28"/>
          <w:szCs w:val="28"/>
        </w:rPr>
        <w:t>【学前儿童行为观察与分析】</w:t>
      </w:r>
    </w:p>
    <w:p>
      <w:pPr>
        <w:shd w:val="clear" w:color="auto" w:fill="F5F5F5"/>
        <w:jc w:val="center"/>
        <w:textAlignment w:val="top"/>
        <w:rPr>
          <w:rFonts w:hint="default" w:ascii="Times New Roman" w:hAnsi="Times New Roman" w:cs="Times New Roman"/>
          <w:b/>
          <w:bCs/>
          <w:color w:val="000000"/>
          <w:sz w:val="28"/>
          <w:szCs w:val="28"/>
        </w:rPr>
      </w:pPr>
      <w:r>
        <w:rPr>
          <w:rFonts w:hint="default" w:ascii="Times New Roman" w:hAnsi="Times New Roman" w:cs="Times New Roman"/>
          <w:b/>
          <w:sz w:val="28"/>
          <w:szCs w:val="28"/>
        </w:rPr>
        <w:t>【Behavior Observation and Analysis of Preschool Children】</w:t>
      </w:r>
    </w:p>
    <w:p>
      <w:pPr>
        <w:pStyle w:val="5"/>
        <w:jc w:val="left"/>
      </w:pPr>
      <w:r>
        <w:rPr>
          <w:rFonts w:hint="eastAsia" w:ascii="黑体" w:hAnsi="黑体" w:eastAsia="黑体"/>
          <w:sz w:val="24"/>
          <w:szCs w:val="24"/>
        </w:rPr>
        <w:t>一、基本信息</w:t>
      </w:r>
    </w:p>
    <w:p>
      <w:pPr>
        <w:snapToGrid w:val="0"/>
        <w:spacing w:line="288" w:lineRule="auto"/>
        <w:ind w:firstLine="394" w:firstLineChars="196"/>
        <w:rPr>
          <w:color w:val="000000"/>
          <w:sz w:val="20"/>
          <w:szCs w:val="20"/>
        </w:rPr>
      </w:pPr>
      <w:r>
        <w:rPr>
          <w:rFonts w:ascii="宋体" w:hAnsi="宋体"/>
          <w:b/>
          <w:bCs/>
          <w:color w:val="000000"/>
          <w:sz w:val="20"/>
          <w:szCs w:val="20"/>
        </w:rPr>
        <w:t>课程代码：</w:t>
      </w:r>
      <w:r>
        <w:rPr>
          <w:rFonts w:ascii="宋体" w:hAnsi="宋体"/>
          <w:color w:val="000000"/>
          <w:sz w:val="20"/>
          <w:szCs w:val="20"/>
        </w:rPr>
        <w:t>【</w:t>
      </w:r>
      <w:r>
        <w:rPr>
          <w:rFonts w:hint="eastAsia" w:cs="Calibri"/>
          <w:color w:val="000000"/>
          <w:sz w:val="20"/>
          <w:szCs w:val="20"/>
        </w:rPr>
        <w:t>2130020</w:t>
      </w:r>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课程学分：</w:t>
      </w:r>
      <w:r>
        <w:rPr>
          <w:rFonts w:ascii="宋体" w:hAnsi="宋体"/>
          <w:color w:val="000000"/>
          <w:sz w:val="20"/>
          <w:szCs w:val="20"/>
        </w:rPr>
        <w:t>【</w:t>
      </w:r>
      <w:r>
        <w:rPr>
          <w:rFonts w:hint="eastAsia" w:cs="Calibri"/>
          <w:color w:val="000000"/>
          <w:sz w:val="20"/>
          <w:szCs w:val="20"/>
        </w:rPr>
        <w:t>2</w:t>
      </w:r>
      <w:r>
        <w:rPr>
          <w:rFonts w:ascii="宋体" w:hAnsi="宋体"/>
          <w:color w:val="000000"/>
          <w:sz w:val="20"/>
          <w:szCs w:val="20"/>
        </w:rPr>
        <w:t>】</w:t>
      </w:r>
    </w:p>
    <w:p>
      <w:pPr>
        <w:snapToGrid w:val="0"/>
        <w:spacing w:line="288" w:lineRule="auto"/>
        <w:ind w:firstLine="394" w:firstLineChars="196"/>
        <w:rPr>
          <w:color w:val="000000"/>
        </w:rPr>
      </w:pPr>
      <w:r>
        <w:rPr>
          <w:rFonts w:ascii="宋体" w:hAnsi="宋体"/>
          <w:b/>
          <w:bCs/>
          <w:color w:val="000000"/>
          <w:sz w:val="20"/>
          <w:szCs w:val="20"/>
        </w:rPr>
        <w:t>面向专业：</w:t>
      </w:r>
      <w:r>
        <w:rPr>
          <w:rFonts w:ascii="宋体" w:hAnsi="宋体"/>
          <w:color w:val="000000"/>
          <w:sz w:val="20"/>
          <w:szCs w:val="20"/>
        </w:rPr>
        <w:t>【</w:t>
      </w:r>
      <w:r>
        <w:rPr>
          <w:rFonts w:hint="eastAsia" w:ascii="宋体" w:hAnsi="宋体"/>
          <w:color w:val="000000"/>
          <w:sz w:val="20"/>
          <w:szCs w:val="20"/>
        </w:rPr>
        <w:t>学前教育</w:t>
      </w:r>
      <w:r>
        <w:rPr>
          <w:rFonts w:ascii="宋体" w:hAnsi="宋体"/>
          <w:color w:val="000000"/>
          <w:sz w:val="20"/>
          <w:szCs w:val="20"/>
        </w:rPr>
        <w:t>】</w:t>
      </w:r>
    </w:p>
    <w:p>
      <w:pPr>
        <w:snapToGrid w:val="0"/>
        <w:spacing w:line="288" w:lineRule="auto"/>
        <w:ind w:firstLine="394" w:firstLineChars="196"/>
        <w:rPr>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hint="eastAsia" w:ascii="宋体" w:hAnsi="宋体"/>
          <w:color w:val="000000"/>
          <w:sz w:val="20"/>
          <w:szCs w:val="20"/>
        </w:rPr>
        <w:t>系级必修课◎</w:t>
      </w:r>
      <w:r>
        <w:rPr>
          <w:rFonts w:ascii="宋体" w:hAnsi="宋体"/>
          <w:color w:val="000000"/>
          <w:sz w:val="20"/>
          <w:szCs w:val="20"/>
        </w:rPr>
        <w:t>】</w:t>
      </w:r>
    </w:p>
    <w:p>
      <w:pPr>
        <w:snapToGrid w:val="0"/>
        <w:spacing w:line="288" w:lineRule="auto"/>
        <w:ind w:firstLine="394" w:firstLineChars="196"/>
        <w:rPr>
          <w:color w:val="000000"/>
          <w:sz w:val="20"/>
          <w:szCs w:val="20"/>
        </w:rPr>
      </w:pPr>
      <w:r>
        <w:rPr>
          <w:rFonts w:ascii="宋体" w:hAnsi="宋体"/>
          <w:b/>
          <w:bCs/>
          <w:color w:val="000000"/>
          <w:sz w:val="20"/>
          <w:szCs w:val="20"/>
        </w:rPr>
        <w:t>开课院系：</w:t>
      </w:r>
      <w:r>
        <w:rPr>
          <w:rFonts w:hint="eastAsia" w:ascii="宋体" w:hAnsi="宋体"/>
          <w:color w:val="000000"/>
          <w:sz w:val="20"/>
          <w:szCs w:val="20"/>
        </w:rPr>
        <w:t>学前教育系</w:t>
      </w:r>
    </w:p>
    <w:p>
      <w:pPr>
        <w:snapToGrid w:val="0"/>
        <w:spacing w:line="288" w:lineRule="auto"/>
        <w:ind w:firstLine="394" w:firstLineChars="196"/>
        <w:rPr>
          <w:rFonts w:ascii="宋体" w:hAnsi="宋体"/>
          <w:b/>
          <w:bCs/>
          <w:color w:val="000000"/>
          <w:sz w:val="20"/>
          <w:szCs w:val="20"/>
        </w:rPr>
      </w:pPr>
      <w:r>
        <w:rPr>
          <w:rFonts w:ascii="宋体" w:hAnsi="宋体"/>
          <w:b/>
          <w:bCs/>
          <w:color w:val="000000"/>
          <w:sz w:val="20"/>
          <w:szCs w:val="20"/>
        </w:rPr>
        <w:t>使用教材：</w:t>
      </w:r>
    </w:p>
    <w:p>
      <w:pPr>
        <w:snapToGrid w:val="0"/>
        <w:spacing w:line="288" w:lineRule="auto"/>
        <w:ind w:firstLine="392" w:firstLineChars="196"/>
        <w:rPr>
          <w:rFonts w:hint="eastAsia" w:ascii="宋体" w:hAnsi="宋体"/>
          <w:b w:val="0"/>
          <w:bCs w:val="0"/>
          <w:color w:val="000000"/>
          <w:sz w:val="20"/>
          <w:szCs w:val="20"/>
          <w:lang w:val="en-US" w:eastAsia="zh-CN"/>
        </w:rPr>
      </w:pPr>
      <w:r>
        <w:rPr>
          <w:rFonts w:hint="eastAsia" w:ascii="宋体" w:hAnsi="宋体"/>
          <w:b w:val="0"/>
          <w:bCs w:val="0"/>
          <w:color w:val="000000"/>
          <w:sz w:val="20"/>
          <w:szCs w:val="20"/>
          <w:lang w:val="en-US" w:eastAsia="zh-CN"/>
        </w:rPr>
        <w:t>教材：</w:t>
      </w:r>
    </w:p>
    <w:p>
      <w:pPr>
        <w:snapToGrid w:val="0"/>
        <w:spacing w:line="288" w:lineRule="auto"/>
        <w:ind w:firstLine="392" w:firstLineChars="196"/>
        <w:rPr>
          <w:color w:val="000000"/>
          <w:sz w:val="20"/>
          <w:szCs w:val="20"/>
        </w:rPr>
      </w:pPr>
      <w:r>
        <w:rPr>
          <w:rFonts w:ascii="宋体" w:hAnsi="宋体"/>
          <w:color w:val="000000"/>
          <w:sz w:val="20"/>
          <w:szCs w:val="20"/>
        </w:rPr>
        <w:t>【</w:t>
      </w:r>
      <w:r>
        <w:rPr>
          <w:rFonts w:hint="eastAsia" w:ascii="宋体" w:hAnsi="宋体"/>
          <w:color w:val="000000"/>
          <w:sz w:val="20"/>
          <w:szCs w:val="20"/>
        </w:rPr>
        <w:t>王晓芬主编，幼儿行为观察与分析，2019年8月，第一版，复旦大学出版社，</w:t>
      </w:r>
      <w:r>
        <w:rPr>
          <w:rFonts w:ascii="宋体" w:hAnsi="宋体"/>
          <w:color w:val="000000"/>
          <w:sz w:val="20"/>
          <w:szCs w:val="20"/>
        </w:rPr>
        <w:t>ISBN</w:t>
      </w:r>
      <w:r>
        <w:rPr>
          <w:rFonts w:hint="eastAsia" w:ascii="宋体" w:hAnsi="宋体"/>
          <w:color w:val="000000"/>
          <w:sz w:val="20"/>
          <w:szCs w:val="20"/>
        </w:rPr>
        <w:t>： 978-7-309-14395-9</w:t>
      </w:r>
      <w:r>
        <w:rPr>
          <w:rFonts w:ascii="宋体" w:hAnsi="宋体"/>
          <w:color w:val="000000"/>
          <w:sz w:val="20"/>
          <w:szCs w:val="20"/>
        </w:rPr>
        <w:t>】</w:t>
      </w:r>
    </w:p>
    <w:p>
      <w:pPr>
        <w:snapToGrid w:val="0"/>
        <w:spacing w:line="288" w:lineRule="auto"/>
        <w:ind w:firstLine="200" w:firstLineChars="100"/>
        <w:rPr>
          <w:rFonts w:hint="eastAsia" w:ascii="宋体" w:hAnsi="宋体"/>
          <w:color w:val="000000"/>
          <w:sz w:val="20"/>
          <w:szCs w:val="20"/>
          <w:lang w:eastAsia="zh-CN"/>
        </w:rPr>
      </w:pPr>
      <w:r>
        <w:rPr>
          <w:rFonts w:ascii="宋体" w:hAnsi="宋体"/>
          <w:color w:val="000000"/>
          <w:sz w:val="20"/>
          <w:szCs w:val="20"/>
        </w:rPr>
        <w:t>参考</w:t>
      </w:r>
      <w:r>
        <w:rPr>
          <w:rFonts w:hint="eastAsia" w:ascii="宋体" w:hAnsi="宋体"/>
          <w:color w:val="000000"/>
          <w:sz w:val="20"/>
          <w:szCs w:val="20"/>
        </w:rPr>
        <w:t>书目</w:t>
      </w:r>
      <w:r>
        <w:rPr>
          <w:rFonts w:hint="eastAsia" w:ascii="宋体" w:hAnsi="宋体"/>
          <w:color w:val="000000"/>
          <w:sz w:val="20"/>
          <w:szCs w:val="20"/>
          <w:lang w:eastAsia="zh-CN"/>
        </w:rPr>
        <w:t>：</w:t>
      </w:r>
    </w:p>
    <w:p>
      <w:pPr>
        <w:snapToGrid w:val="0"/>
        <w:spacing w:line="288" w:lineRule="auto"/>
        <w:ind w:firstLine="200" w:firstLineChars="100"/>
        <w:rPr>
          <w:color w:val="000000"/>
          <w:sz w:val="20"/>
          <w:szCs w:val="20"/>
        </w:rPr>
      </w:pPr>
      <w:r>
        <w:rPr>
          <w:rFonts w:ascii="宋体" w:hAnsi="宋体"/>
          <w:color w:val="000000"/>
          <w:sz w:val="20"/>
          <w:szCs w:val="20"/>
        </w:rPr>
        <w:t>【</w:t>
      </w:r>
      <w:r>
        <w:rPr>
          <w:rFonts w:hint="eastAsia" w:cs="Calibri"/>
          <w:color w:val="000000"/>
          <w:sz w:val="20"/>
          <w:szCs w:val="20"/>
        </w:rPr>
        <w:t>1.</w:t>
      </w:r>
      <w:r>
        <w:rPr>
          <w:rFonts w:hint="eastAsia" w:ascii="宋体" w:hAnsi="宋体"/>
          <w:color w:val="000000"/>
          <w:sz w:val="20"/>
          <w:szCs w:val="20"/>
        </w:rPr>
        <w:t>书名：学前儿童行为观察，作者：施燕，出版社：华东师范大学出版社，版本信息：</w:t>
      </w:r>
      <w:r>
        <w:rPr>
          <w:rFonts w:hint="eastAsia" w:cs="Calibri"/>
          <w:color w:val="000000"/>
          <w:sz w:val="20"/>
          <w:szCs w:val="20"/>
        </w:rPr>
        <w:t>2011-02</w:t>
      </w:r>
      <w:r>
        <w:rPr>
          <w:rFonts w:hint="eastAsia" w:ascii="宋体" w:hAnsi="宋体"/>
          <w:color w:val="000000"/>
          <w:sz w:val="20"/>
          <w:szCs w:val="20"/>
        </w:rPr>
        <w:t>（出版时间），版次：第</w:t>
      </w:r>
      <w:r>
        <w:rPr>
          <w:rFonts w:hint="eastAsia" w:cs="Calibri"/>
          <w:color w:val="000000"/>
          <w:sz w:val="20"/>
          <w:szCs w:val="20"/>
        </w:rPr>
        <w:t>2</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9787561782361</w:t>
      </w:r>
      <w:r>
        <w:rPr>
          <w:rFonts w:hint="eastAsia" w:ascii="宋体" w:hAnsi="宋体"/>
          <w:color w:val="000000"/>
          <w:sz w:val="20"/>
          <w:szCs w:val="20"/>
        </w:rPr>
        <w:t>；</w:t>
      </w:r>
      <w:r>
        <w:rPr>
          <w:rFonts w:ascii="宋体" w:hAnsi="宋体"/>
          <w:color w:val="000000"/>
          <w:sz w:val="20"/>
          <w:szCs w:val="20"/>
        </w:rPr>
        <w:t>】</w:t>
      </w:r>
    </w:p>
    <w:p>
      <w:pPr>
        <w:numPr>
          <w:ilvl w:val="0"/>
          <w:numId w:val="0"/>
        </w:numPr>
        <w:snapToGrid w:val="0"/>
        <w:spacing w:line="288" w:lineRule="auto"/>
        <w:ind w:firstLine="200" w:firstLineChars="100"/>
        <w:rPr>
          <w:color w:val="000000"/>
          <w:sz w:val="20"/>
          <w:szCs w:val="20"/>
        </w:rPr>
      </w:pPr>
      <w:r>
        <w:rPr>
          <w:rFonts w:ascii="宋体" w:hAnsi="宋体"/>
          <w:color w:val="000000"/>
          <w:sz w:val="20"/>
          <w:szCs w:val="20"/>
        </w:rPr>
        <w:t>【</w:t>
      </w:r>
      <w:r>
        <w:rPr>
          <w:rFonts w:hint="eastAsia" w:ascii="宋体" w:hAnsi="宋体"/>
          <w:color w:val="000000"/>
          <w:sz w:val="20"/>
          <w:szCs w:val="20"/>
          <w:lang w:val="en-US" w:eastAsia="zh-CN"/>
        </w:rPr>
        <w:t>2.</w:t>
      </w:r>
      <w:r>
        <w:rPr>
          <w:rFonts w:hint="eastAsia" w:ascii="宋体" w:hAnsi="宋体"/>
          <w:color w:val="000000"/>
          <w:sz w:val="20"/>
          <w:szCs w:val="20"/>
        </w:rPr>
        <w:t>书名：幼儿行为观察与分析，作者：施燕，出版社：华东师范大学出版社，版本信息：</w:t>
      </w:r>
      <w:r>
        <w:rPr>
          <w:rFonts w:hint="eastAsia" w:cs="Calibri"/>
          <w:color w:val="000000"/>
          <w:sz w:val="20"/>
          <w:szCs w:val="20"/>
        </w:rPr>
        <w:t>2015-08</w:t>
      </w:r>
      <w:r>
        <w:rPr>
          <w:rFonts w:hint="eastAsia" w:ascii="宋体" w:hAnsi="宋体"/>
          <w:color w:val="000000"/>
          <w:sz w:val="20"/>
          <w:szCs w:val="20"/>
        </w:rPr>
        <w:t>（出版时间），版次：第</w:t>
      </w:r>
      <w:r>
        <w:rPr>
          <w:rFonts w:hint="eastAsia" w:cs="Calibri"/>
          <w:color w:val="000000"/>
          <w:sz w:val="20"/>
          <w:szCs w:val="20"/>
        </w:rPr>
        <w:t>1</w:t>
      </w:r>
      <w:r>
        <w:rPr>
          <w:rFonts w:hint="eastAsia" w:ascii="宋体" w:hAnsi="宋体"/>
          <w:color w:val="000000"/>
          <w:sz w:val="20"/>
          <w:szCs w:val="20"/>
        </w:rPr>
        <w:t>版，书号（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9787567536814</w:t>
      </w:r>
      <w:r>
        <w:rPr>
          <w:rFonts w:hint="eastAsia" w:ascii="宋体" w:hAnsi="宋体"/>
          <w:color w:val="000000"/>
          <w:sz w:val="20"/>
          <w:szCs w:val="20"/>
        </w:rPr>
        <w:t>；</w:t>
      </w:r>
      <w:r>
        <w:rPr>
          <w:rFonts w:ascii="宋体" w:hAnsi="宋体"/>
          <w:color w:val="000000"/>
          <w:sz w:val="20"/>
          <w:szCs w:val="20"/>
        </w:rPr>
        <w:t>】</w:t>
      </w:r>
    </w:p>
    <w:p>
      <w:pPr>
        <w:numPr>
          <w:ilvl w:val="0"/>
          <w:numId w:val="0"/>
        </w:numPr>
        <w:snapToGrid w:val="0"/>
        <w:spacing w:line="288" w:lineRule="auto"/>
        <w:ind w:firstLine="200" w:firstLineChars="10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lang w:val="en-US" w:eastAsia="zh-CN"/>
        </w:rPr>
        <w:t>3.</w:t>
      </w:r>
      <w:r>
        <w:rPr>
          <w:rFonts w:hint="eastAsia" w:ascii="宋体" w:hAnsi="宋体"/>
          <w:color w:val="000000"/>
          <w:sz w:val="20"/>
          <w:szCs w:val="20"/>
        </w:rPr>
        <w:t>书名：幼儿行为观察与记录，作者：蔡春美、洪福财，出版社：华东师范大学出版社，版本信息：</w:t>
      </w:r>
      <w:r>
        <w:rPr>
          <w:rFonts w:hint="eastAsia" w:cs="Calibri"/>
          <w:color w:val="000000"/>
          <w:sz w:val="20"/>
          <w:szCs w:val="20"/>
        </w:rPr>
        <w:t>2013-01</w:t>
      </w:r>
      <w:r>
        <w:rPr>
          <w:rFonts w:hint="eastAsia" w:ascii="宋体" w:hAnsi="宋体"/>
          <w:color w:val="000000"/>
          <w:sz w:val="20"/>
          <w:szCs w:val="20"/>
        </w:rPr>
        <w:t>，书号（</w:t>
      </w:r>
      <w:r>
        <w:rPr>
          <w:rFonts w:hint="eastAsia" w:cs="Calibri"/>
          <w:color w:val="000000"/>
          <w:sz w:val="20"/>
          <w:szCs w:val="20"/>
        </w:rPr>
        <w:t>ISBN</w:t>
      </w:r>
      <w:r>
        <w:rPr>
          <w:rFonts w:hint="eastAsia" w:ascii="宋体" w:hAnsi="宋体"/>
          <w:color w:val="000000"/>
          <w:sz w:val="20"/>
          <w:szCs w:val="20"/>
        </w:rPr>
        <w:t>）：</w:t>
      </w:r>
      <w:r>
        <w:rPr>
          <w:rFonts w:hint="eastAsia" w:cs="Calibri"/>
          <w:color w:val="000000"/>
          <w:sz w:val="20"/>
          <w:szCs w:val="20"/>
        </w:rPr>
        <w:t>9787561799024</w:t>
      </w:r>
      <w:r>
        <w:rPr>
          <w:rFonts w:ascii="宋体" w:hAnsi="宋体"/>
          <w:color w:val="000000"/>
          <w:sz w:val="20"/>
          <w:szCs w:val="20"/>
        </w:rPr>
        <w:t>】</w:t>
      </w:r>
    </w:p>
    <w:p>
      <w:pPr>
        <w:snapToGrid w:val="0"/>
        <w:spacing w:line="288" w:lineRule="auto"/>
        <w:ind w:firstLine="394" w:firstLineChars="196"/>
        <w:jc w:val="left"/>
        <w:rPr>
          <w:rFonts w:ascii="宋体" w:hAnsi="宋体"/>
          <w:color w:val="000000"/>
          <w:sz w:val="20"/>
          <w:szCs w:val="20"/>
        </w:rPr>
      </w:pPr>
      <w:r>
        <w:rPr>
          <w:rFonts w:hint="eastAsia"/>
          <w:b/>
          <w:bCs/>
          <w:color w:val="000000"/>
          <w:sz w:val="20"/>
          <w:szCs w:val="20"/>
        </w:rPr>
        <w:t>课程网站网址：</w:t>
      </w:r>
      <w:r>
        <w:rPr>
          <w:rFonts w:hint="eastAsia"/>
          <w:b/>
          <w:bCs/>
          <w:color w:val="000000"/>
          <w:sz w:val="20"/>
          <w:szCs w:val="20"/>
          <w:lang w:val="en-US" w:eastAsia="zh-CN"/>
        </w:rPr>
        <w:t>无</w:t>
      </w:r>
    </w:p>
    <w:p>
      <w:pPr>
        <w:adjustRightInd w:val="0"/>
        <w:snapToGrid w:val="0"/>
        <w:spacing w:line="288" w:lineRule="auto"/>
        <w:ind w:firstLine="394" w:firstLineChars="196"/>
        <w:rPr>
          <w:rFonts w:ascii="宋体" w:hAnsi="宋体"/>
          <w:b/>
          <w:bCs/>
          <w:color w:val="000000"/>
          <w:sz w:val="20"/>
          <w:szCs w:val="20"/>
        </w:rPr>
      </w:pPr>
      <w:r>
        <w:rPr>
          <w:rFonts w:ascii="宋体" w:hAnsi="宋体"/>
          <w:b/>
          <w:bCs/>
          <w:color w:val="000000"/>
          <w:sz w:val="20"/>
          <w:szCs w:val="20"/>
        </w:rPr>
        <w:t>先修课程：</w:t>
      </w:r>
    </w:p>
    <w:p>
      <w:pPr>
        <w:adjustRightInd w:val="0"/>
        <w:snapToGrid w:val="0"/>
        <w:spacing w:line="288" w:lineRule="auto"/>
        <w:ind w:firstLine="200" w:firstLineChars="100"/>
        <w:rPr>
          <w:color w:val="000000"/>
          <w:sz w:val="20"/>
          <w:szCs w:val="20"/>
        </w:rPr>
      </w:pPr>
      <w:r>
        <w:rPr>
          <w:rFonts w:ascii="宋体" w:hAnsi="宋体"/>
          <w:color w:val="000000"/>
          <w:sz w:val="20"/>
          <w:szCs w:val="20"/>
        </w:rPr>
        <w:t>【</w:t>
      </w:r>
      <w:r>
        <w:rPr>
          <w:rFonts w:hint="eastAsia" w:ascii="宋体" w:hAnsi="宋体"/>
          <w:color w:val="000000"/>
          <w:sz w:val="20"/>
          <w:szCs w:val="20"/>
        </w:rPr>
        <w:t>教育心理学</w:t>
      </w:r>
      <w:r>
        <w:rPr>
          <w:rFonts w:hint="eastAsia" w:cs="Calibri"/>
          <w:color w:val="000000"/>
          <w:sz w:val="20"/>
          <w:szCs w:val="20"/>
        </w:rPr>
        <w:t>2130007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），学前儿童发展科学</w:t>
      </w:r>
      <w:r>
        <w:rPr>
          <w:rFonts w:hint="eastAsia" w:cs="Calibri"/>
          <w:color w:val="000000"/>
          <w:sz w:val="20"/>
          <w:szCs w:val="20"/>
        </w:rPr>
        <w:t>2130016</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），学前教育学</w:t>
      </w:r>
      <w:r>
        <w:rPr>
          <w:rFonts w:hint="eastAsia" w:cs="Calibri"/>
          <w:color w:val="000000"/>
          <w:sz w:val="20"/>
          <w:szCs w:val="20"/>
        </w:rPr>
        <w:t>2130014</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），幼儿园课程</w:t>
      </w:r>
      <w:r>
        <w:rPr>
          <w:rFonts w:hint="eastAsia" w:cs="Calibri"/>
          <w:color w:val="000000"/>
          <w:sz w:val="20"/>
          <w:szCs w:val="20"/>
        </w:rPr>
        <w:t>2130017</w:t>
      </w:r>
      <w:r>
        <w:rPr>
          <w:rFonts w:hint="eastAsia" w:ascii="宋体" w:hAnsi="宋体"/>
          <w:color w:val="000000"/>
          <w:sz w:val="20"/>
          <w:szCs w:val="20"/>
        </w:rPr>
        <w:t>（</w:t>
      </w:r>
      <w:r>
        <w:rPr>
          <w:rFonts w:hint="eastAsia" w:cs="Calibri"/>
          <w:color w:val="000000"/>
          <w:sz w:val="20"/>
          <w:szCs w:val="20"/>
        </w:rPr>
        <w:t>2</w:t>
      </w:r>
      <w:r>
        <w:rPr>
          <w:rFonts w:hint="eastAsia" w:ascii="宋体" w:hAnsi="宋体"/>
          <w:color w:val="000000"/>
          <w:sz w:val="20"/>
          <w:szCs w:val="20"/>
        </w:rPr>
        <w:t>）</w:t>
      </w:r>
      <w:r>
        <w:rPr>
          <w:rFonts w:ascii="宋体" w:hAnsi="宋体"/>
          <w:color w:val="000000"/>
          <w:sz w:val="20"/>
          <w:szCs w:val="20"/>
        </w:rPr>
        <w:t>】</w:t>
      </w:r>
    </w:p>
    <w:p>
      <w:pPr>
        <w:pStyle w:val="5"/>
        <w:jc w:val="left"/>
        <w:rPr>
          <w:rFonts w:ascii="黑体" w:hAnsi="宋体" w:eastAsia="黑体"/>
          <w:sz w:val="24"/>
          <w:szCs w:val="24"/>
        </w:rPr>
      </w:pPr>
      <w:r>
        <w:rPr>
          <w:rFonts w:hint="eastAsia" w:ascii="黑体" w:hAnsi="黑体" w:eastAsia="黑体"/>
          <w:sz w:val="24"/>
          <w:szCs w:val="24"/>
        </w:rPr>
        <w:t>二、课程简介</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 xml:space="preserve"> 《学前儿童行为观察与分析》是教育方法学的重要课程之一，是学前教育专业课程体系中的专业必修课程，即专门研究学前儿童行为的意义，并依据外部行为表现的观察与记录，对学前儿童的身心发展、情绪表现、语言活动和游戏活动进行观察记录与评估。本课程既是教育方法学的重要组成，又是实现幼儿教师教育教学技能专业培养目标实践技能的课程。因此，本课程具有理论性和实践性的性质，是实现幼儿教师专业化发展的主要课程。</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首先，本门课程可以提高学习者的专业理论水平，掌握学前儿童行为研究的功能、心理学界对行为解释的基本理论观点和学前儿童行为观察与记录的基本原则与方法，明确学前儿童行为观察与记录的重要意义，培养学生具体实施儿童行为观察与记录的教学理论能力。</w:t>
      </w:r>
    </w:p>
    <w:p>
      <w:pPr>
        <w:widowControl/>
        <w:spacing w:before="156" w:beforeLines="50" w:after="156" w:afterLines="50" w:line="288" w:lineRule="auto"/>
        <w:ind w:firstLine="300" w:firstLineChars="150"/>
        <w:jc w:val="left"/>
        <w:rPr>
          <w:rFonts w:ascii="宋体" w:hAnsi="宋体"/>
          <w:sz w:val="20"/>
          <w:szCs w:val="20"/>
        </w:rPr>
      </w:pPr>
      <w:r>
        <w:rPr>
          <w:rFonts w:hint="eastAsia" w:ascii="宋体" w:hAnsi="宋体"/>
          <w:sz w:val="20"/>
          <w:szCs w:val="20"/>
        </w:rPr>
        <w:t>其次，学前儿童行为观察与记录是一门实践性、操作性极强的学科，它可以提高学习者的教育教学方法和技能。通过学习理论知识并与实际技能操作相结合，使学生具有较为合理的知识结构，培养学生的观察能力、动手操作能力、设计能力。</w:t>
      </w:r>
    </w:p>
    <w:p>
      <w:pPr>
        <w:widowControl/>
        <w:spacing w:before="156" w:beforeLines="50" w:after="156" w:afterLines="50" w:line="288" w:lineRule="auto"/>
        <w:ind w:firstLine="300" w:firstLineChars="150"/>
        <w:jc w:val="left"/>
        <w:rPr>
          <w:rFonts w:hint="eastAsia" w:ascii="宋体" w:hAnsi="宋体" w:eastAsia="宋体"/>
          <w:sz w:val="20"/>
          <w:szCs w:val="20"/>
          <w:lang w:eastAsia="zh-CN"/>
        </w:rPr>
      </w:pPr>
      <w:r>
        <w:rPr>
          <w:rFonts w:hint="eastAsia" w:ascii="宋体" w:hAnsi="宋体"/>
          <w:sz w:val="20"/>
          <w:szCs w:val="20"/>
        </w:rPr>
        <w:t>第三，它可以帮助教师更全面的了解幼儿，为实施有针对性的个性化教育提供有力的支持。结合《幼儿园教育指导纲要（试行）》、《3~6岁儿童学习与发展指南》对幼儿园教师观察理念的要求，紧密结合《幼儿园教师专业标准（试行）》中专业知识、专业能力维度幼儿保育和教育知识、激励与评价领域中对幼儿园教师专业知识、专业能力的基本要求，掌握学前儿童行为观察与记录是幼儿园教师专业能力的重要体现</w:t>
      </w:r>
      <w:r>
        <w:rPr>
          <w:rFonts w:hint="eastAsia" w:ascii="宋体" w:hAnsi="宋体"/>
          <w:sz w:val="20"/>
          <w:szCs w:val="20"/>
          <w:lang w:eastAsia="zh-CN"/>
        </w:rPr>
        <w:t>。</w:t>
      </w:r>
      <w:bookmarkStart w:id="0" w:name="_GoBack"/>
      <w:bookmarkEnd w:id="0"/>
    </w:p>
    <w:p>
      <w:pPr>
        <w:pStyle w:val="5"/>
        <w:jc w:val="left"/>
        <w:rPr>
          <w:rFonts w:ascii="黑体" w:hAnsi="宋体" w:eastAsia="黑体"/>
          <w:sz w:val="24"/>
          <w:szCs w:val="24"/>
        </w:rPr>
      </w:pPr>
      <w:r>
        <w:rPr>
          <w:rFonts w:hint="eastAsia" w:ascii="黑体" w:hAnsi="黑体" w:eastAsia="黑体"/>
          <w:sz w:val="24"/>
          <w:szCs w:val="24"/>
        </w:rPr>
        <w:t>三、选课建议</w:t>
      </w:r>
    </w:p>
    <w:p>
      <w:pPr>
        <w:widowControl/>
        <w:spacing w:before="156" w:beforeLines="50" w:after="156" w:afterLines="50" w:line="288" w:lineRule="auto"/>
        <w:ind w:firstLine="300" w:firstLineChars="150"/>
        <w:jc w:val="left"/>
        <w:rPr>
          <w:rFonts w:ascii="宋体" w:hAnsi="宋体"/>
          <w:color w:val="000000"/>
          <w:sz w:val="20"/>
          <w:szCs w:val="20"/>
        </w:rPr>
      </w:pPr>
      <w:r>
        <w:rPr>
          <w:rFonts w:hint="eastAsia" w:ascii="宋体" w:hAnsi="宋体"/>
          <w:color w:val="000000"/>
          <w:sz w:val="20"/>
          <w:szCs w:val="20"/>
        </w:rPr>
        <w:t>本课程建议学前教育专业的三年级学生选课，学生应对于学前教育学、教育心理学有一定的了解，且具有一定的辩证思考及自主学习的能力。</w:t>
      </w:r>
    </w:p>
    <w:p>
      <w:pPr>
        <w:widowControl/>
        <w:spacing w:before="156" w:beforeLines="50" w:after="156" w:afterLines="50" w:line="288" w:lineRule="auto"/>
        <w:jc w:val="left"/>
        <w:rPr>
          <w:rFonts w:ascii="宋体" w:hAnsi="宋体"/>
          <w:sz w:val="20"/>
          <w:szCs w:val="20"/>
        </w:rPr>
      </w:pPr>
      <w:r>
        <w:rPr>
          <w:rFonts w:hint="eastAsia" w:ascii="黑体" w:hAnsi="黑体" w:eastAsia="黑体"/>
          <w:sz w:val="24"/>
          <w:szCs w:val="24"/>
        </w:rPr>
        <w:t>四、课程与专业毕业要求的关联性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hint="eastAsia" w:ascii="宋体" w:hAnsi="宋体" w:eastAsia="宋体" w:cs="宋体"/>
                <w:sz w:val="20"/>
                <w:szCs w:val="20"/>
              </w:rPr>
            </w:pPr>
            <w:r>
              <w:rPr>
                <w:rFonts w:hint="eastAsia" w:ascii="黑体" w:hAnsi="黑体" w:eastAsia="黑体" w:cs="黑体"/>
                <w:sz w:val="21"/>
                <w:szCs w:val="21"/>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hint="eastAsia" w:ascii="宋体" w:hAnsi="宋体" w:eastAsia="宋体" w:cs="宋体"/>
                <w:sz w:val="20"/>
                <w:szCs w:val="20"/>
              </w:rPr>
            </w:pPr>
            <w:r>
              <w:rPr>
                <w:rFonts w:hint="eastAsia" w:ascii="宋体" w:hAnsi="宋体" w:eastAsia="宋体" w:cs="宋体"/>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hint="eastAsia" w:ascii="宋体" w:hAnsi="宋体" w:eastAsia="宋体" w:cs="宋体"/>
                <w:sz w:val="20"/>
                <w:szCs w:val="20"/>
              </w:rPr>
            </w:pPr>
            <w:r>
              <w:rPr>
                <w:rFonts w:hint="eastAsia" w:ascii="宋体" w:hAnsi="宋体" w:eastAsia="宋体" w:cs="宋体"/>
                <w:b/>
                <w:sz w:val="20"/>
                <w:szCs w:val="20"/>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hint="eastAsia" w:ascii="宋体" w:hAnsi="宋体" w:eastAsia="宋体" w:cs="宋体"/>
                <w:bCs/>
                <w:sz w:val="20"/>
                <w:szCs w:val="20"/>
              </w:rPr>
            </w:pPr>
            <w:r>
              <w:rPr>
                <w:rFonts w:hint="eastAsia" w:ascii="宋体" w:hAnsi="宋体" w:eastAsia="宋体" w:cs="宋体"/>
                <w:b/>
                <w:sz w:val="20"/>
                <w:szCs w:val="20"/>
              </w:rPr>
              <w:t>LO111:</w:t>
            </w:r>
            <w:r>
              <w:rPr>
                <w:rFonts w:hint="eastAsia" w:ascii="宋体" w:hAnsi="宋体" w:eastAsia="宋体" w:cs="宋体"/>
                <w:bCs/>
                <w:sz w:val="20"/>
                <w:szCs w:val="20"/>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LO112:</w:t>
            </w:r>
            <w:r>
              <w:rPr>
                <w:rFonts w:hint="eastAsia" w:ascii="宋体" w:hAnsi="宋体" w:eastAsia="宋体" w:cs="宋体"/>
                <w:bCs/>
                <w:sz w:val="20"/>
                <w:szCs w:val="20"/>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LO113:</w:t>
            </w:r>
            <w:r>
              <w:rPr>
                <w:rFonts w:hint="eastAsia" w:ascii="宋体" w:hAnsi="宋体" w:eastAsia="宋体" w:cs="宋体"/>
                <w:bCs/>
                <w:sz w:val="20"/>
                <w:szCs w:val="20"/>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LO121:</w:t>
            </w:r>
            <w:r>
              <w:rPr>
                <w:rFonts w:hint="eastAsia" w:ascii="宋体" w:hAnsi="宋体" w:eastAsia="宋体" w:cs="宋体"/>
                <w:bCs/>
                <w:sz w:val="20"/>
                <w:szCs w:val="20"/>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LO122:</w:t>
            </w:r>
            <w:r>
              <w:rPr>
                <w:rFonts w:hint="eastAsia" w:ascii="宋体" w:hAnsi="宋体" w:eastAsia="宋体" w:cs="宋体"/>
                <w:bCs/>
                <w:sz w:val="20"/>
                <w:szCs w:val="20"/>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LO123:</w:t>
            </w:r>
            <w:r>
              <w:rPr>
                <w:rFonts w:hint="eastAsia" w:ascii="宋体" w:hAnsi="宋体" w:eastAsia="宋体" w:cs="宋体"/>
                <w:bCs/>
                <w:sz w:val="20"/>
                <w:szCs w:val="20"/>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LO211:</w:t>
            </w:r>
            <w:r>
              <w:rPr>
                <w:rFonts w:hint="eastAsia" w:ascii="宋体" w:hAnsi="宋体" w:eastAsia="宋体" w:cs="宋体"/>
                <w:bCs/>
                <w:sz w:val="20"/>
                <w:szCs w:val="20"/>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LO212:</w:t>
            </w:r>
            <w:r>
              <w:rPr>
                <w:rFonts w:hint="eastAsia" w:ascii="宋体" w:hAnsi="宋体" w:eastAsia="宋体" w:cs="宋体"/>
                <w:bCs/>
                <w:sz w:val="20"/>
                <w:szCs w:val="20"/>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LO213:</w:t>
            </w:r>
            <w:r>
              <w:rPr>
                <w:rFonts w:hint="eastAsia" w:ascii="宋体" w:hAnsi="宋体" w:eastAsia="宋体" w:cs="宋体"/>
                <w:bCs/>
                <w:sz w:val="20"/>
                <w:szCs w:val="20"/>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LO221:</w:t>
            </w:r>
            <w:r>
              <w:rPr>
                <w:rFonts w:hint="eastAsia" w:ascii="宋体" w:hAnsi="宋体" w:eastAsia="宋体" w:cs="宋体"/>
                <w:bCs/>
                <w:sz w:val="20"/>
                <w:szCs w:val="20"/>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LO222:</w:t>
            </w:r>
            <w:r>
              <w:rPr>
                <w:rFonts w:hint="eastAsia" w:ascii="宋体" w:hAnsi="宋体" w:eastAsia="宋体" w:cs="宋体"/>
                <w:bCs/>
                <w:sz w:val="20"/>
                <w:szCs w:val="20"/>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r>
              <w:rPr>
                <w:rFonts w:hint="eastAsia" w:ascii="宋体" w:hAnsi="宋体" w:eastAsia="宋体" w:cs="宋体"/>
                <w:color w:val="00000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LO223:</w:t>
            </w:r>
            <w:r>
              <w:rPr>
                <w:rFonts w:hint="eastAsia" w:ascii="宋体" w:hAnsi="宋体" w:eastAsia="宋体" w:cs="宋体"/>
                <w:bCs/>
                <w:sz w:val="20"/>
                <w:szCs w:val="20"/>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LO231:</w:t>
            </w:r>
            <w:r>
              <w:rPr>
                <w:rFonts w:hint="eastAsia" w:ascii="宋体" w:hAnsi="宋体" w:eastAsia="宋体" w:cs="宋体"/>
                <w:bCs/>
                <w:sz w:val="20"/>
                <w:szCs w:val="20"/>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LO232:</w:t>
            </w:r>
            <w:r>
              <w:rPr>
                <w:rFonts w:hint="eastAsia" w:ascii="宋体" w:hAnsi="宋体" w:eastAsia="宋体" w:cs="宋体"/>
                <w:bCs/>
                <w:sz w:val="20"/>
                <w:szCs w:val="20"/>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LO233:</w:t>
            </w:r>
            <w:r>
              <w:rPr>
                <w:rFonts w:hint="eastAsia" w:ascii="宋体" w:hAnsi="宋体" w:eastAsia="宋体" w:cs="宋体"/>
                <w:bCs/>
                <w:sz w:val="20"/>
                <w:szCs w:val="20"/>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LO311:</w:t>
            </w:r>
            <w:r>
              <w:rPr>
                <w:rFonts w:hint="eastAsia" w:ascii="宋体" w:hAnsi="宋体" w:eastAsia="宋体" w:cs="宋体"/>
                <w:bCs/>
                <w:sz w:val="20"/>
                <w:szCs w:val="20"/>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LO312:</w:t>
            </w:r>
            <w:r>
              <w:rPr>
                <w:rFonts w:hint="eastAsia" w:ascii="宋体" w:hAnsi="宋体" w:eastAsia="宋体" w:cs="宋体"/>
                <w:bCs/>
                <w:sz w:val="20"/>
                <w:szCs w:val="20"/>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LO313:</w:t>
            </w:r>
            <w:r>
              <w:rPr>
                <w:rFonts w:hint="eastAsia" w:ascii="宋体" w:hAnsi="宋体" w:eastAsia="宋体" w:cs="宋体"/>
                <w:bCs/>
                <w:sz w:val="20"/>
                <w:szCs w:val="20"/>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LO321:</w:t>
            </w:r>
            <w:r>
              <w:rPr>
                <w:rFonts w:hint="eastAsia" w:ascii="宋体" w:hAnsi="宋体" w:eastAsia="宋体" w:cs="宋体"/>
                <w:bCs/>
                <w:sz w:val="20"/>
                <w:szCs w:val="20"/>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LO322:</w:t>
            </w:r>
            <w:r>
              <w:rPr>
                <w:rFonts w:hint="eastAsia" w:ascii="宋体" w:hAnsi="宋体" w:eastAsia="宋体" w:cs="宋体"/>
                <w:bCs/>
                <w:sz w:val="20"/>
                <w:szCs w:val="20"/>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LO323:</w:t>
            </w:r>
            <w:r>
              <w:rPr>
                <w:rFonts w:hint="eastAsia" w:ascii="宋体" w:hAnsi="宋体" w:eastAsia="宋体" w:cs="宋体"/>
                <w:bCs/>
                <w:sz w:val="20"/>
                <w:szCs w:val="20"/>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LO411:</w:t>
            </w:r>
            <w:r>
              <w:rPr>
                <w:rFonts w:hint="eastAsia" w:ascii="宋体" w:hAnsi="宋体" w:eastAsia="宋体" w:cs="宋体"/>
                <w:bCs/>
                <w:sz w:val="20"/>
                <w:szCs w:val="20"/>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LO412:</w:t>
            </w:r>
            <w:r>
              <w:rPr>
                <w:rFonts w:hint="eastAsia" w:ascii="宋体" w:hAnsi="宋体" w:eastAsia="宋体" w:cs="宋体"/>
                <w:bCs/>
                <w:sz w:val="20"/>
                <w:szCs w:val="20"/>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LO413:</w:t>
            </w:r>
            <w:r>
              <w:rPr>
                <w:rFonts w:hint="eastAsia" w:ascii="宋体" w:hAnsi="宋体" w:eastAsia="宋体" w:cs="宋体"/>
                <w:bCs/>
                <w:sz w:val="20"/>
                <w:szCs w:val="20"/>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LO421:</w:t>
            </w:r>
            <w:r>
              <w:rPr>
                <w:rFonts w:hint="eastAsia" w:ascii="宋体" w:hAnsi="宋体" w:eastAsia="宋体" w:cs="宋体"/>
                <w:bCs/>
                <w:sz w:val="20"/>
                <w:szCs w:val="20"/>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LO422:</w:t>
            </w:r>
            <w:r>
              <w:rPr>
                <w:rFonts w:hint="eastAsia" w:ascii="宋体" w:hAnsi="宋体" w:eastAsia="宋体" w:cs="宋体"/>
                <w:bCs/>
                <w:sz w:val="20"/>
                <w:szCs w:val="20"/>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LO423:</w:t>
            </w:r>
            <w:r>
              <w:rPr>
                <w:rFonts w:hint="eastAsia" w:ascii="宋体" w:hAnsi="宋体" w:eastAsia="宋体" w:cs="宋体"/>
                <w:bCs/>
                <w:sz w:val="20"/>
                <w:szCs w:val="20"/>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hint="eastAsia" w:ascii="宋体" w:hAnsi="宋体" w:eastAsia="宋体" w:cs="宋体"/>
                <w:b/>
                <w:sz w:val="20"/>
                <w:szCs w:val="20"/>
              </w:rPr>
            </w:pPr>
            <w:r>
              <w:rPr>
                <w:rFonts w:hint="eastAsia" w:ascii="宋体" w:hAnsi="宋体" w:eastAsia="宋体" w:cs="宋体"/>
                <w:b/>
                <w:sz w:val="20"/>
                <w:szCs w:val="20"/>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LO431:</w:t>
            </w:r>
            <w:r>
              <w:rPr>
                <w:rFonts w:hint="eastAsia" w:ascii="宋体" w:hAnsi="宋体" w:eastAsia="宋体" w:cs="宋体"/>
                <w:bCs/>
                <w:sz w:val="20"/>
                <w:szCs w:val="20"/>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LO432:</w:t>
            </w:r>
            <w:r>
              <w:rPr>
                <w:rFonts w:hint="eastAsia" w:ascii="宋体" w:hAnsi="宋体" w:eastAsia="宋体" w:cs="宋体"/>
                <w:bCs/>
                <w:sz w:val="20"/>
                <w:szCs w:val="20"/>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hint="eastAsia" w:ascii="宋体" w:hAnsi="宋体" w:eastAsia="宋体" w:cs="宋体"/>
                <w:bCs/>
                <w:sz w:val="20"/>
                <w:szCs w:val="20"/>
              </w:rPr>
            </w:pPr>
            <w:r>
              <w:rPr>
                <w:rFonts w:hint="eastAsia" w:ascii="宋体" w:hAnsi="宋体" w:eastAsia="宋体" w:cs="宋体"/>
                <w:b/>
                <w:sz w:val="20"/>
                <w:szCs w:val="20"/>
              </w:rPr>
              <w:t>LO433:</w:t>
            </w:r>
            <w:r>
              <w:rPr>
                <w:rFonts w:hint="eastAsia" w:ascii="宋体" w:hAnsi="宋体" w:eastAsia="宋体" w:cs="宋体"/>
                <w:bCs/>
                <w:sz w:val="20"/>
                <w:szCs w:val="20"/>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eastAsia" w:ascii="宋体" w:hAnsi="宋体" w:eastAsia="宋体" w:cs="宋体"/>
                <w:color w:val="000000"/>
                <w:sz w:val="20"/>
                <w:szCs w:val="20"/>
              </w:rPr>
            </w:pPr>
          </w:p>
        </w:tc>
      </w:tr>
    </w:tbl>
    <w:p>
      <w:pPr>
        <w:pStyle w:val="3"/>
        <w:rPr>
          <w:rFonts w:hint="eastAsia" w:ascii="黑体" w:hAnsi="黑体" w:eastAsia="黑体"/>
          <w:sz w:val="24"/>
          <w:szCs w:val="24"/>
        </w:rPr>
      </w:pPr>
      <w:r>
        <w:rPr>
          <w:rFonts w:hint="eastAsia"/>
        </w:rPr>
        <w:t>备注：LO=learning outcomes（学习成果）</w:t>
      </w:r>
    </w:p>
    <w:p>
      <w:pPr>
        <w:pStyle w:val="5"/>
        <w:jc w:val="left"/>
        <w:rPr>
          <w:rFonts w:ascii="黑体" w:hAnsi="宋体" w:eastAsia="黑体"/>
          <w:sz w:val="24"/>
          <w:szCs w:val="24"/>
        </w:rPr>
      </w:pPr>
      <w:r>
        <w:rPr>
          <w:rFonts w:hint="eastAsia" w:ascii="黑体" w:hAnsi="黑体" w:eastAsia="黑体"/>
          <w:sz w:val="24"/>
          <w:szCs w:val="24"/>
        </w:rPr>
        <w:t>五、课程目标/课程预期学习成果</w:t>
      </w:r>
    </w:p>
    <w:tbl>
      <w:tblPr>
        <w:tblStyle w:val="6"/>
        <w:tblW w:w="85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175"/>
        <w:gridCol w:w="2470"/>
        <w:gridCol w:w="2199"/>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序号</w:t>
            </w:r>
          </w:p>
        </w:tc>
        <w:tc>
          <w:tcPr>
            <w:tcW w:w="1175" w:type="dxa"/>
            <w:tcBorders>
              <w:top w:val="single" w:color="auto" w:sz="4" w:space="0"/>
              <w:left w:val="nil"/>
              <w:bottom w:val="single" w:color="auto" w:sz="4" w:space="0"/>
              <w:right w:val="single" w:color="auto" w:sz="4" w:space="0"/>
            </w:tcBorders>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810" w:type="dxa"/>
            <w:tcBorders>
              <w:top w:val="single" w:color="auto" w:sz="4" w:space="0"/>
              <w:left w:val="nil"/>
              <w:bottom w:val="single" w:color="auto" w:sz="4" w:space="0"/>
              <w:right w:val="single" w:color="auto" w:sz="4" w:space="0"/>
            </w:tcBorders>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75"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val="0"/>
                <w:bCs/>
                <w:color w:val="000000"/>
                <w:kern w:val="0"/>
                <w:sz w:val="20"/>
                <w:szCs w:val="20"/>
              </w:rPr>
            </w:pPr>
            <w:r>
              <w:rPr>
                <w:rFonts w:hint="eastAsia" w:ascii="宋体" w:hAnsi="宋体" w:eastAsia="宋体" w:cs="宋体"/>
                <w:b w:val="0"/>
                <w:bCs/>
                <w:sz w:val="20"/>
                <w:szCs w:val="20"/>
              </w:rPr>
              <w:t>LO</w:t>
            </w:r>
            <w:r>
              <w:rPr>
                <w:rFonts w:hint="eastAsia" w:ascii="宋体" w:hAnsi="宋体" w:eastAsia="宋体" w:cs="宋体"/>
                <w:b w:val="0"/>
                <w:bCs/>
                <w:color w:val="000000"/>
                <w:kern w:val="0"/>
                <w:sz w:val="20"/>
                <w:szCs w:val="20"/>
              </w:rPr>
              <w:t>221</w:t>
            </w:r>
          </w:p>
        </w:tc>
        <w:tc>
          <w:tcPr>
            <w:tcW w:w="2470"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1.理解和掌握学前儿童身心发展的特点和的一般规律</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3.掌握学前儿童行为观察与分析的基本原则、途径和方法，提高对学前儿童行为进行观察与分析的能力。</w:t>
            </w:r>
          </w:p>
        </w:tc>
        <w:tc>
          <w:tcPr>
            <w:tcW w:w="2199"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pPr>
              <w:snapToGrid w:val="0"/>
              <w:spacing w:line="288"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翻转课堂</w:t>
            </w:r>
          </w:p>
        </w:tc>
        <w:tc>
          <w:tcPr>
            <w:tcW w:w="1810" w:type="dxa"/>
            <w:tcBorders>
              <w:top w:val="single" w:color="auto" w:sz="4" w:space="0"/>
              <w:left w:val="nil"/>
              <w:bottom w:val="single" w:color="auto" w:sz="4" w:space="0"/>
              <w:right w:val="single" w:color="auto" w:sz="4" w:space="0"/>
            </w:tcBorders>
          </w:tcPr>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期末闭卷考试；</w:t>
            </w:r>
          </w:p>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课后作业</w:t>
            </w:r>
          </w:p>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平时表现</w:t>
            </w:r>
          </w:p>
          <w:p>
            <w:p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反思小结</w:t>
            </w:r>
          </w:p>
          <w:p>
            <w:pPr>
              <w:snapToGrid w:val="0"/>
              <w:spacing w:line="288" w:lineRule="auto"/>
              <w:jc w:val="left"/>
              <w:rPr>
                <w:rFonts w:hint="eastAsia" w:ascii="宋体" w:hAnsi="宋体" w:eastAsia="宋体" w:cs="宋体"/>
                <w:sz w:val="20"/>
                <w:szCs w:val="20"/>
              </w:rPr>
            </w:pPr>
          </w:p>
          <w:p>
            <w:pPr>
              <w:snapToGrid w:val="0"/>
              <w:spacing w:line="288" w:lineRule="auto"/>
              <w:jc w:val="lef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75" w:type="dxa"/>
            <w:tcBorders>
              <w:top w:val="single" w:color="auto" w:sz="4" w:space="0"/>
              <w:left w:val="nil"/>
              <w:bottom w:val="single" w:color="auto" w:sz="4" w:space="0"/>
              <w:right w:val="single" w:color="auto" w:sz="4" w:space="0"/>
            </w:tcBorders>
          </w:tcPr>
          <w:p>
            <w:pPr>
              <w:rPr>
                <w:rFonts w:hint="eastAsia" w:ascii="宋体" w:hAnsi="宋体" w:eastAsia="宋体" w:cs="宋体"/>
                <w:b w:val="0"/>
                <w:bCs/>
                <w:color w:val="000000"/>
                <w:kern w:val="0"/>
                <w:sz w:val="20"/>
                <w:szCs w:val="20"/>
              </w:rPr>
            </w:pPr>
            <w:r>
              <w:rPr>
                <w:rFonts w:hint="eastAsia" w:ascii="宋体" w:hAnsi="宋体" w:eastAsia="宋体" w:cs="宋体"/>
                <w:b w:val="0"/>
                <w:bCs/>
                <w:sz w:val="20"/>
                <w:szCs w:val="20"/>
              </w:rPr>
              <w:t>LO</w:t>
            </w:r>
            <w:r>
              <w:rPr>
                <w:rFonts w:hint="eastAsia" w:ascii="宋体" w:hAnsi="宋体" w:eastAsia="宋体" w:cs="宋体"/>
                <w:b w:val="0"/>
                <w:bCs/>
                <w:color w:val="000000"/>
                <w:kern w:val="0"/>
                <w:sz w:val="20"/>
                <w:szCs w:val="20"/>
              </w:rPr>
              <w:t>222</w:t>
            </w:r>
          </w:p>
        </w:tc>
        <w:tc>
          <w:tcPr>
            <w:tcW w:w="2470"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掌握学前儿童一日生活、教学活动、区域活动及幼儿园与家庭、社区互动中对学前儿童行为进行观察与分析的方法与策略。</w:t>
            </w:r>
          </w:p>
        </w:tc>
        <w:tc>
          <w:tcPr>
            <w:tcW w:w="2199" w:type="dxa"/>
            <w:tcBorders>
              <w:top w:val="single" w:color="auto" w:sz="4" w:space="0"/>
              <w:left w:val="nil"/>
              <w:bottom w:val="single" w:color="auto" w:sz="4" w:space="0"/>
              <w:right w:val="single" w:color="auto" w:sz="4" w:space="0"/>
            </w:tcBorders>
          </w:tcPr>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课堂讲授；</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小组讨论；</w:t>
            </w:r>
          </w:p>
          <w:p>
            <w:pPr>
              <w:rPr>
                <w:rFonts w:hint="eastAsia" w:ascii="宋体" w:hAnsi="宋体" w:eastAsia="宋体" w:cs="宋体"/>
                <w:sz w:val="20"/>
                <w:szCs w:val="20"/>
              </w:rPr>
            </w:pPr>
            <w:r>
              <w:rPr>
                <w:rFonts w:hint="eastAsia" w:ascii="宋体" w:hAnsi="宋体" w:eastAsia="宋体" w:cs="宋体"/>
                <w:color w:val="000000"/>
                <w:kern w:val="0"/>
                <w:sz w:val="20"/>
                <w:szCs w:val="20"/>
              </w:rPr>
              <w:t>翻转课堂</w:t>
            </w:r>
          </w:p>
        </w:tc>
        <w:tc>
          <w:tcPr>
            <w:tcW w:w="1810" w:type="dxa"/>
            <w:tcBorders>
              <w:top w:val="single" w:color="auto" w:sz="4" w:space="0"/>
              <w:left w:val="nil"/>
              <w:bottom w:val="single" w:color="auto" w:sz="4" w:space="0"/>
              <w:right w:val="single" w:color="auto" w:sz="4" w:space="0"/>
            </w:tcBorders>
          </w:tcPr>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课后作业</w:t>
            </w:r>
          </w:p>
          <w:p>
            <w:pPr>
              <w:snapToGrid w:val="0"/>
              <w:spacing w:line="288" w:lineRule="auto"/>
              <w:rPr>
                <w:rFonts w:hint="eastAsia" w:ascii="宋体" w:hAnsi="宋体" w:eastAsia="宋体" w:cs="宋体"/>
                <w:sz w:val="20"/>
                <w:szCs w:val="20"/>
              </w:rPr>
            </w:pPr>
            <w:r>
              <w:rPr>
                <w:rFonts w:hint="eastAsia" w:ascii="宋体" w:hAnsi="宋体" w:eastAsia="宋体" w:cs="宋体"/>
                <w:sz w:val="20"/>
                <w:szCs w:val="20"/>
              </w:rPr>
              <w:t>作品展示</w:t>
            </w:r>
          </w:p>
        </w:tc>
      </w:tr>
    </w:tbl>
    <w:p>
      <w:pPr>
        <w:snapToGrid w:val="0"/>
        <w:spacing w:line="288" w:lineRule="auto"/>
        <w:rPr>
          <w:rFonts w:ascii="黑体" w:hAnsi="宋体" w:eastAsia="黑体"/>
          <w:sz w:val="24"/>
          <w:szCs w:val="24"/>
        </w:rPr>
      </w:pPr>
      <w:r>
        <w:rPr>
          <w:rFonts w:hint="eastAsia" w:ascii="黑体" w:hAnsi="宋体" w:eastAsia="黑体"/>
          <w:sz w:val="24"/>
          <w:szCs w:val="24"/>
        </w:rPr>
        <w:t xml:space="preserve"> </w:t>
      </w:r>
      <w:r>
        <w:rPr>
          <w:rFonts w:hint="eastAsia" w:ascii="黑体" w:hAnsi="黑体" w:eastAsia="黑体"/>
          <w:sz w:val="24"/>
          <w:szCs w:val="24"/>
        </w:rPr>
        <w:t>六、课程内容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单元</w:t>
            </w:r>
          </w:p>
        </w:tc>
        <w:tc>
          <w:tcPr>
            <w:tcW w:w="2130"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知识点</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能力要求</w:t>
            </w:r>
          </w:p>
        </w:tc>
        <w:tc>
          <w:tcPr>
            <w:tcW w:w="2131" w:type="dxa"/>
            <w:tcBorders>
              <w:top w:val="single" w:color="auto" w:sz="4" w:space="0"/>
              <w:left w:val="nil"/>
              <w:bottom w:val="single" w:color="auto" w:sz="4" w:space="0"/>
              <w:right w:val="single" w:color="auto" w:sz="4" w:space="0"/>
            </w:tcBorders>
          </w:tcPr>
          <w:p>
            <w:pPr>
              <w:snapToGrid w:val="0"/>
              <w:spacing w:line="288" w:lineRule="auto"/>
              <w:ind w:firstLine="402" w:firstLineChars="200"/>
              <w:rPr>
                <w:rFonts w:ascii="Times New Roman" w:hAnsi="Times New Roman"/>
                <w:kern w:val="0"/>
                <w:sz w:val="20"/>
                <w:szCs w:val="20"/>
              </w:rPr>
            </w:pPr>
            <w:r>
              <w:rPr>
                <w:rFonts w:hint="eastAsia" w:ascii="宋体" w:hAnsi="宋体"/>
                <w:b/>
                <w:bCs/>
                <w:kern w:val="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学前儿童行为观察概述</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4</w:t>
            </w:r>
            <w:r>
              <w:rPr>
                <w:rFonts w:hint="eastAsia" w:ascii="Times New Roman" w:hAnsi="Times New Roman"/>
                <w:kern w:val="0"/>
                <w:sz w:val="20"/>
                <w:szCs w:val="20"/>
                <w:lang w:val="en-US" w:eastAsia="zh-CN"/>
              </w:rPr>
              <w:t>学</w:t>
            </w:r>
            <w:r>
              <w:rPr>
                <w:rFonts w:hint="eastAsia" w:ascii="宋体" w:hAnsi="宋体"/>
                <w:kern w:val="0"/>
                <w:sz w:val="20"/>
                <w:szCs w:val="20"/>
              </w:rPr>
              <w:t>时）</w:t>
            </w:r>
          </w:p>
        </w:tc>
        <w:tc>
          <w:tcPr>
            <w:tcW w:w="2130" w:type="dxa"/>
            <w:tcBorders>
              <w:top w:val="single" w:color="auto" w:sz="4" w:space="0"/>
              <w:left w:val="nil"/>
              <w:bottom w:val="single" w:color="auto" w:sz="4" w:space="0"/>
              <w:right w:val="single" w:color="auto" w:sz="4" w:space="0"/>
            </w:tcBorders>
          </w:tcPr>
          <w:p>
            <w:pPr>
              <w:numPr>
                <w:ilvl w:val="0"/>
                <w:numId w:val="1"/>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理解学前教育行为观察的定义</w:t>
            </w:r>
          </w:p>
          <w:p>
            <w:pPr>
              <w:numPr>
                <w:ilvl w:val="0"/>
                <w:numId w:val="1"/>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知道学前教育行为观察的种类</w:t>
            </w:r>
          </w:p>
          <w:p>
            <w:pPr>
              <w:numPr>
                <w:ilvl w:val="0"/>
                <w:numId w:val="1"/>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知道学前儿童行为观察的意义与基本过程</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能够列举学前儿童行为观察所包含的种类，并能简要表述其中的区别与联系</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能够说明教师工作离不开观察</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w:t>
            </w:r>
            <w:r>
              <w:rPr>
                <w:rFonts w:hint="eastAsia" w:ascii="宋体" w:hAnsi="宋体"/>
                <w:kern w:val="0"/>
                <w:sz w:val="20"/>
                <w:szCs w:val="20"/>
              </w:rPr>
              <w:t>了解学前儿童行为观察的误区</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宋体" w:hAnsi="宋体"/>
                <w:kern w:val="0"/>
                <w:sz w:val="20"/>
                <w:szCs w:val="20"/>
              </w:rPr>
              <w:t>熟知学前儿童行为观察的基本过程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轶事记录法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6</w:t>
            </w:r>
            <w:r>
              <w:rPr>
                <w:rFonts w:hint="eastAsia" w:ascii="Times New Roman" w:hAnsi="Times New Roman"/>
                <w:kern w:val="0"/>
                <w:sz w:val="20"/>
                <w:szCs w:val="20"/>
                <w:lang w:val="en-US" w:eastAsia="zh-CN"/>
              </w:rPr>
              <w:t>学</w:t>
            </w:r>
            <w:r>
              <w:rPr>
                <w:rFonts w:hint="eastAsia" w:ascii="宋体" w:hAnsi="宋体"/>
                <w:kern w:val="0"/>
                <w:sz w:val="20"/>
                <w:szCs w:val="20"/>
              </w:rPr>
              <w:t>时）</w:t>
            </w:r>
          </w:p>
        </w:tc>
        <w:tc>
          <w:tcPr>
            <w:tcW w:w="2130" w:type="dxa"/>
            <w:tcBorders>
              <w:top w:val="single" w:color="auto" w:sz="4" w:space="0"/>
              <w:left w:val="nil"/>
              <w:bottom w:val="single" w:color="auto" w:sz="4" w:space="0"/>
              <w:right w:val="single" w:color="auto" w:sz="4" w:space="0"/>
            </w:tcBorders>
          </w:tcPr>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了解轶事记录法的含义</w:t>
            </w:r>
          </w:p>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了解轶事记录法的优点和局限</w:t>
            </w:r>
          </w:p>
          <w:p>
            <w:pPr>
              <w:numPr>
                <w:ilvl w:val="0"/>
                <w:numId w:val="2"/>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理解轶事记录法的具体实施步骤</w:t>
            </w:r>
          </w:p>
        </w:tc>
        <w:tc>
          <w:tcPr>
            <w:tcW w:w="2131" w:type="dxa"/>
            <w:tcBorders>
              <w:top w:val="single" w:color="auto" w:sz="4" w:space="0"/>
              <w:left w:val="nil"/>
              <w:bottom w:val="single" w:color="auto" w:sz="4" w:space="0"/>
              <w:right w:val="single" w:color="auto" w:sz="4" w:space="0"/>
            </w:tcBorders>
          </w:tcPr>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能够确定观察主题</w:t>
            </w:r>
          </w:p>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能够选取适当的记录方式</w:t>
            </w:r>
          </w:p>
          <w:p>
            <w:pPr>
              <w:numPr>
                <w:ilvl w:val="0"/>
                <w:numId w:val="3"/>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能够在观察过程中，做好观察记录</w:t>
            </w:r>
          </w:p>
        </w:tc>
        <w:tc>
          <w:tcPr>
            <w:tcW w:w="2131" w:type="dxa"/>
            <w:tcBorders>
              <w:top w:val="single" w:color="auto" w:sz="4" w:space="0"/>
              <w:left w:val="nil"/>
              <w:bottom w:val="single" w:color="auto" w:sz="4" w:space="0"/>
              <w:right w:val="single" w:color="auto" w:sz="4" w:space="0"/>
            </w:tcBorders>
          </w:tcPr>
          <w:p>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观察主题及记录方式的选取</w:t>
            </w:r>
          </w:p>
          <w:p>
            <w:pPr>
              <w:numPr>
                <w:ilvl w:val="0"/>
                <w:numId w:val="4"/>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观察记录过程的实施步骤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一日生活的观察与分析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10</w:t>
            </w:r>
            <w:r>
              <w:rPr>
                <w:rFonts w:hint="eastAsia" w:ascii="Times New Roman" w:hAnsi="Times New Roman"/>
                <w:kern w:val="0"/>
                <w:sz w:val="20"/>
                <w:szCs w:val="20"/>
                <w:lang w:val="en-US" w:eastAsia="zh-CN"/>
              </w:rPr>
              <w:t>学</w:t>
            </w:r>
            <w:r>
              <w:rPr>
                <w:rFonts w:hint="eastAsia" w:ascii="宋体" w:hAnsi="宋体"/>
                <w:kern w:val="0"/>
                <w:sz w:val="20"/>
                <w:szCs w:val="20"/>
              </w:rPr>
              <w:t>时）</w:t>
            </w:r>
          </w:p>
        </w:tc>
        <w:tc>
          <w:tcPr>
            <w:tcW w:w="2130" w:type="dxa"/>
            <w:tcBorders>
              <w:top w:val="single" w:color="auto" w:sz="4" w:space="0"/>
              <w:left w:val="nil"/>
              <w:bottom w:val="single" w:color="auto" w:sz="4" w:space="0"/>
              <w:right w:val="single" w:color="auto" w:sz="4" w:space="0"/>
            </w:tcBorders>
          </w:tcPr>
          <w:p>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了解对一日生活进行观察与分析的意义</w:t>
            </w:r>
          </w:p>
          <w:p>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掌握一日生活的观察要点</w:t>
            </w:r>
          </w:p>
          <w:p>
            <w:pPr>
              <w:numPr>
                <w:ilvl w:val="0"/>
                <w:numId w:val="5"/>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理解一日活动观察的内容及分析与指导的要点</w:t>
            </w:r>
          </w:p>
        </w:tc>
        <w:tc>
          <w:tcPr>
            <w:tcW w:w="2131" w:type="dxa"/>
            <w:tcBorders>
              <w:top w:val="single" w:color="auto" w:sz="4" w:space="0"/>
              <w:left w:val="nil"/>
              <w:bottom w:val="single" w:color="auto" w:sz="4" w:space="0"/>
              <w:right w:val="single" w:color="auto" w:sz="4" w:space="0"/>
            </w:tcBorders>
          </w:tcPr>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能够分别简要说明五大领域的观察要点</w:t>
            </w:r>
          </w:p>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能够简要阐述对一日生活活动进行观察与的分析的意义</w:t>
            </w:r>
          </w:p>
          <w:p>
            <w:pPr>
              <w:numPr>
                <w:ilvl w:val="0"/>
                <w:numId w:val="6"/>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能够对于游戏、生活出现的问题，进行分析与指导</w:t>
            </w:r>
          </w:p>
        </w:tc>
        <w:tc>
          <w:tcPr>
            <w:tcW w:w="2131" w:type="dxa"/>
            <w:tcBorders>
              <w:top w:val="single" w:color="auto" w:sz="4" w:space="0"/>
              <w:left w:val="nil"/>
              <w:bottom w:val="single" w:color="auto" w:sz="4" w:space="0"/>
              <w:right w:val="single" w:color="auto" w:sz="4" w:space="0"/>
            </w:tcBorders>
          </w:tcPr>
          <w:p>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了解各个领域的观察要点、分析与指导</w:t>
            </w:r>
          </w:p>
          <w:p>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熟知游戏活动的观察要点、分析与指导</w:t>
            </w:r>
          </w:p>
          <w:p>
            <w:pPr>
              <w:numPr>
                <w:ilvl w:val="0"/>
                <w:numId w:val="7"/>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熟知生活活动的观察要点、分析与指导</w:t>
            </w:r>
          </w:p>
          <w:p>
            <w:pPr>
              <w:snapToGrid w:val="0"/>
              <w:spacing w:line="288" w:lineRule="auto"/>
              <w:ind w:right="26"/>
              <w:rPr>
                <w:rFonts w:ascii="Times New Roman" w:hAnsi="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日记描述法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2</w:t>
            </w:r>
            <w:r>
              <w:rPr>
                <w:rFonts w:hint="eastAsia" w:ascii="Times New Roman" w:hAnsi="Times New Roman"/>
                <w:kern w:val="0"/>
                <w:sz w:val="20"/>
                <w:szCs w:val="20"/>
                <w:lang w:val="en-US" w:eastAsia="zh-CN"/>
              </w:rPr>
              <w:t>学</w:t>
            </w:r>
            <w:r>
              <w:rPr>
                <w:rFonts w:hint="eastAsia" w:ascii="Times New Roman" w:hAnsi="Times New Roman"/>
                <w:kern w:val="0"/>
                <w:sz w:val="20"/>
                <w:szCs w:val="20"/>
              </w:rPr>
              <w:t>时）</w:t>
            </w: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1.了解日记描述法的含义</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2.了解日记描述法的优点和局限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3.理解日记描述法的具体实施注意事项</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1.了解日记描述法的悠久历史</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2.掌握日记描述法的特点</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掌握日记描述法的具体实施注意事项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取样观察法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4</w:t>
            </w:r>
            <w:r>
              <w:rPr>
                <w:rFonts w:hint="eastAsia" w:ascii="Times New Roman" w:hAnsi="Times New Roman"/>
                <w:kern w:val="0"/>
                <w:sz w:val="20"/>
                <w:szCs w:val="20"/>
                <w:lang w:val="en-US" w:eastAsia="zh-CN"/>
              </w:rPr>
              <w:t>学</w:t>
            </w:r>
            <w:r>
              <w:rPr>
                <w:rFonts w:hint="eastAsia" w:ascii="宋体" w:hAnsi="宋体"/>
                <w:kern w:val="0"/>
                <w:sz w:val="20"/>
                <w:szCs w:val="20"/>
              </w:rPr>
              <w:t>时）</w:t>
            </w:r>
          </w:p>
        </w:tc>
        <w:tc>
          <w:tcPr>
            <w:tcW w:w="2130" w:type="dxa"/>
            <w:tcBorders>
              <w:top w:val="single" w:color="auto" w:sz="4" w:space="0"/>
              <w:left w:val="nil"/>
              <w:bottom w:val="single" w:color="auto" w:sz="4" w:space="0"/>
              <w:right w:val="single" w:color="auto" w:sz="4" w:space="0"/>
            </w:tcBorders>
          </w:tcPr>
          <w:p>
            <w:pPr>
              <w:numPr>
                <w:ilvl w:val="0"/>
                <w:numId w:val="8"/>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了解时间事件/取样法的含义</w:t>
            </w:r>
          </w:p>
          <w:p>
            <w:pPr>
              <w:numPr>
                <w:ilvl w:val="0"/>
                <w:numId w:val="8"/>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了解时间/事件取样法的优点和局限</w:t>
            </w:r>
          </w:p>
          <w:p>
            <w:pPr>
              <w:numPr>
                <w:ilvl w:val="0"/>
                <w:numId w:val="8"/>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理解时间/事件取样法的具体实施步骤</w:t>
            </w:r>
          </w:p>
        </w:tc>
        <w:tc>
          <w:tcPr>
            <w:tcW w:w="2131" w:type="dxa"/>
            <w:tcBorders>
              <w:top w:val="single" w:color="auto" w:sz="4" w:space="0"/>
              <w:left w:val="nil"/>
              <w:bottom w:val="single" w:color="auto" w:sz="4" w:space="0"/>
              <w:right w:val="single" w:color="auto" w:sz="4" w:space="0"/>
            </w:tcBorders>
          </w:tcPr>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能够简要分析时间/事件取样法的优点与局限</w:t>
            </w:r>
          </w:p>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能够根据实际观察情况，设定适当的观察时间，并制作观察量表，并选择适当的观察方式，整理分析记录材料，合理推定结论</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1．恰当观察样本的选择</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2.观察量表的编制</w:t>
            </w:r>
          </w:p>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相关材料的整理与记录分析</w:t>
            </w:r>
          </w:p>
          <w:p>
            <w:pPr>
              <w:numPr>
                <w:ilvl w:val="0"/>
                <w:numId w:val="9"/>
              </w:num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观察结果的灵活记录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评定观察法</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4</w:t>
            </w:r>
            <w:r>
              <w:rPr>
                <w:rFonts w:hint="eastAsia" w:ascii="Times New Roman" w:hAnsi="Times New Roman"/>
                <w:kern w:val="0"/>
                <w:sz w:val="20"/>
                <w:szCs w:val="20"/>
                <w:lang w:val="en-US" w:eastAsia="zh-CN"/>
              </w:rPr>
              <w:t>学</w:t>
            </w:r>
            <w:r>
              <w:rPr>
                <w:rFonts w:hint="eastAsia" w:ascii="Times New Roman" w:hAnsi="Times New Roman"/>
                <w:kern w:val="0"/>
                <w:sz w:val="20"/>
                <w:szCs w:val="20"/>
              </w:rPr>
              <w:t>时）</w:t>
            </w:r>
          </w:p>
          <w:p>
            <w:pPr>
              <w:snapToGrid w:val="0"/>
              <w:spacing w:line="288" w:lineRule="auto"/>
              <w:ind w:right="26"/>
              <w:rPr>
                <w:rFonts w:ascii="Times New Roman" w:hAnsi="Times New Roman"/>
                <w:kern w:val="0"/>
                <w:sz w:val="20"/>
                <w:szCs w:val="20"/>
              </w:rPr>
            </w:pP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1.了解等级评定观察和行为检核观察的含义</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2.了解评定观察的优点和局限</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3.理解评定观察法的具体运用方法</w:t>
            </w:r>
          </w:p>
          <w:p>
            <w:pPr>
              <w:snapToGrid w:val="0"/>
              <w:spacing w:line="288" w:lineRule="auto"/>
              <w:ind w:right="26"/>
              <w:rPr>
                <w:rFonts w:ascii="Times New Roman" w:hAnsi="Times New Roman"/>
                <w:kern w:val="0"/>
                <w:sz w:val="20"/>
                <w:szCs w:val="20"/>
              </w:rPr>
            </w:pP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1.能设计等级评定表</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w:t>
            </w:r>
            <w:r>
              <w:rPr>
                <w:rFonts w:hint="eastAsia" w:ascii="Times New Roman" w:hAnsi="Times New Roman"/>
                <w:kern w:val="0"/>
                <w:sz w:val="20"/>
                <w:szCs w:val="20"/>
                <w:lang w:eastAsia="zh-CN"/>
              </w:rPr>
              <w:t>.</w:t>
            </w:r>
            <w:r>
              <w:rPr>
                <w:rFonts w:hint="eastAsia" w:ascii="Times New Roman" w:hAnsi="Times New Roman"/>
                <w:kern w:val="0"/>
                <w:sz w:val="20"/>
                <w:szCs w:val="20"/>
              </w:rPr>
              <w:t>能设计行为检核表</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1.掌握等级评定法的设计注意事项</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2.掌握行为检核表设计的注意事项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复习与答疑</w:t>
            </w:r>
          </w:p>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w:t>
            </w:r>
            <w:r>
              <w:rPr>
                <w:rFonts w:hint="eastAsia" w:ascii="Times New Roman" w:hAnsi="Times New Roman"/>
                <w:kern w:val="0"/>
                <w:sz w:val="20"/>
                <w:szCs w:val="20"/>
                <w:lang w:val="en-US" w:eastAsia="zh-CN"/>
              </w:rPr>
              <w:t>理论</w:t>
            </w:r>
            <w:r>
              <w:rPr>
                <w:rFonts w:hint="eastAsia" w:ascii="Times New Roman" w:hAnsi="Times New Roman"/>
                <w:kern w:val="0"/>
                <w:sz w:val="20"/>
                <w:szCs w:val="20"/>
              </w:rPr>
              <w:t>2课时）</w:t>
            </w:r>
          </w:p>
        </w:tc>
        <w:tc>
          <w:tcPr>
            <w:tcW w:w="2130"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对本学期所学内容有全面的掌握</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能清晰自己的困惑</w:t>
            </w:r>
          </w:p>
        </w:tc>
        <w:tc>
          <w:tcPr>
            <w:tcW w:w="2131" w:type="dxa"/>
            <w:tcBorders>
              <w:top w:val="single" w:color="auto" w:sz="4" w:space="0"/>
              <w:left w:val="nil"/>
              <w:bottom w:val="single" w:color="auto" w:sz="4" w:space="0"/>
              <w:right w:val="single" w:color="auto" w:sz="4" w:space="0"/>
            </w:tcBorders>
          </w:tcPr>
          <w:p>
            <w:pPr>
              <w:snapToGrid w:val="0"/>
              <w:spacing w:line="288" w:lineRule="auto"/>
              <w:ind w:right="26"/>
              <w:rPr>
                <w:rFonts w:ascii="Times New Roman" w:hAnsi="Times New Roman"/>
                <w:kern w:val="0"/>
                <w:sz w:val="20"/>
                <w:szCs w:val="20"/>
              </w:rPr>
            </w:pPr>
            <w:r>
              <w:rPr>
                <w:rFonts w:hint="eastAsia" w:ascii="Times New Roman" w:hAnsi="Times New Roman"/>
                <w:kern w:val="0"/>
                <w:sz w:val="20"/>
                <w:szCs w:val="20"/>
              </w:rPr>
              <w:t>回答各个同学的疑惑</w:t>
            </w:r>
          </w:p>
        </w:tc>
      </w:tr>
    </w:tbl>
    <w:p>
      <w:pPr>
        <w:snapToGrid w:val="0"/>
        <w:spacing w:line="288" w:lineRule="auto"/>
        <w:ind w:right="26"/>
        <w:jc w:val="left"/>
        <w:rPr>
          <w:sz w:val="20"/>
          <w:szCs w:val="20"/>
        </w:rPr>
      </w:pPr>
      <w:r>
        <w:rPr>
          <w:sz w:val="20"/>
          <w:szCs w:val="20"/>
        </w:rPr>
        <w:t xml:space="preserve"> </w:t>
      </w:r>
      <w:r>
        <w:rPr>
          <w:rFonts w:hint="eastAsia" w:ascii="黑体" w:hAnsi="黑体" w:eastAsia="黑体"/>
          <w:sz w:val="24"/>
          <w:szCs w:val="24"/>
        </w:rPr>
        <w:t>八、评价方式与成绩</w:t>
      </w:r>
    </w:p>
    <w:tbl>
      <w:tblPr>
        <w:tblStyle w:val="6"/>
        <w:tblW w:w="840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rPr>
            </w:pPr>
            <w:r>
              <w:rPr>
                <w:rFonts w:hint="eastAsia" w:ascii="宋体" w:hAnsi="宋体"/>
                <w:bCs/>
                <w:color w:val="000000"/>
              </w:rPr>
              <w:t>总评构成（1+X）</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评价方式</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期末闭卷考试（纸笔测试）</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X1</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课后作业</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X2</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平时表现</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X3</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作品（选集）</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X4</w:t>
            </w:r>
          </w:p>
        </w:tc>
        <w:tc>
          <w:tcPr>
            <w:tcW w:w="5103"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反思小结</w:t>
            </w:r>
          </w:p>
        </w:tc>
        <w:tc>
          <w:tcPr>
            <w:tcW w:w="1497" w:type="dxa"/>
            <w:tcBorders>
              <w:top w:val="single" w:color="auto" w:sz="4" w:space="0"/>
              <w:left w:val="nil"/>
              <w:bottom w:val="single" w:color="auto" w:sz="4" w:space="0"/>
              <w:right w:val="single" w:color="auto" w:sz="4" w:space="0"/>
            </w:tcBorders>
          </w:tcPr>
          <w:p>
            <w:pPr>
              <w:snapToGrid w:val="0"/>
              <w:spacing w:before="156" w:beforeLines="50" w:after="156" w:afterLines="50"/>
              <w:jc w:val="center"/>
              <w:rPr>
                <w:rFonts w:ascii="宋体" w:hAnsi="宋体"/>
                <w:bCs/>
                <w:color w:val="000000"/>
              </w:rPr>
            </w:pPr>
            <w:r>
              <w:rPr>
                <w:rFonts w:hint="eastAsia" w:ascii="宋体" w:hAnsi="宋体"/>
                <w:bCs/>
                <w:color w:val="000000"/>
              </w:rPr>
              <w:t>10%</w:t>
            </w:r>
          </w:p>
        </w:tc>
      </w:tr>
    </w:tbl>
    <w:p>
      <w:pPr>
        <w:snapToGrid w:val="0"/>
        <w:spacing w:line="288" w:lineRule="auto"/>
        <w:rPr>
          <w:rFonts w:ascii="宋体" w:hAnsi="宋体"/>
          <w:sz w:val="28"/>
          <w:szCs w:val="28"/>
        </w:rPr>
      </w:pPr>
    </w:p>
    <w:p>
      <w:pPr>
        <w:snapToGrid w:val="0"/>
        <w:spacing w:line="288" w:lineRule="auto"/>
        <w:rPr>
          <w:sz w:val="28"/>
          <w:szCs w:val="28"/>
        </w:rPr>
      </w:pPr>
      <w:r>
        <w:rPr>
          <w:rFonts w:hint="eastAsia" w:ascii="宋体" w:hAnsi="宋体"/>
          <w:sz w:val="28"/>
          <w:szCs w:val="28"/>
        </w:rPr>
        <w:t>撰写人：</w:t>
      </w:r>
      <w:r>
        <w:rPr>
          <w:rFonts w:hint="eastAsia" w:ascii="宋体" w:hAnsi="宋体"/>
          <w:sz w:val="28"/>
          <w:szCs w:val="28"/>
          <w:lang w:val="en-US" w:eastAsia="zh-CN"/>
        </w:rPr>
        <w:t>陈鑫</w:t>
      </w:r>
      <w:r>
        <w:rPr>
          <w:rFonts w:hint="eastAsia"/>
          <w:sz w:val="28"/>
          <w:szCs w:val="28"/>
        </w:rPr>
        <w:t xml:space="preserve">  </w:t>
      </w:r>
      <w:r>
        <w:rPr>
          <w:sz w:val="28"/>
          <w:szCs w:val="28"/>
        </w:rPr>
        <w:t xml:space="preserve">   </w:t>
      </w:r>
      <w:r>
        <w:rPr>
          <w:rFonts w:hint="eastAsia" w:ascii="宋体" w:hAnsi="宋体"/>
          <w:sz w:val="28"/>
          <w:szCs w:val="28"/>
        </w:rPr>
        <w:t>系主任审核签名：</w:t>
      </w:r>
      <w:r>
        <w:rPr>
          <w:rFonts w:hint="eastAsia" w:ascii="宋体" w:hAnsi="宋体"/>
          <w:sz w:val="28"/>
          <w:szCs w:val="28"/>
          <w:lang w:val="en-US" w:eastAsia="zh-CN"/>
        </w:rPr>
        <w:t>步社民</w:t>
      </w:r>
      <w:r>
        <w:rPr>
          <w:rFonts w:hint="eastAsia"/>
          <w:sz w:val="28"/>
          <w:szCs w:val="28"/>
        </w:rPr>
        <w:t xml:space="preserve">    </w:t>
      </w:r>
      <w:r>
        <w:rPr>
          <w:rFonts w:hint="eastAsia" w:ascii="宋体" w:hAnsi="宋体"/>
          <w:sz w:val="28"/>
          <w:szCs w:val="28"/>
        </w:rPr>
        <w:t>审核时间：</w:t>
      </w:r>
      <w:r>
        <w:rPr>
          <w:rFonts w:hint="eastAsia" w:ascii="宋体" w:hAnsi="宋体"/>
          <w:sz w:val="28"/>
          <w:szCs w:val="28"/>
          <w:lang w:val="en-US" w:eastAsia="zh-CN"/>
        </w:rPr>
        <w:t>2023.3.1</w:t>
      </w:r>
      <w:r>
        <w:rPr>
          <w:rFonts w:hint="eastAsia" w:cs="Calibri"/>
          <w:sz w:val="28"/>
          <w:szCs w:val="28"/>
        </w:rPr>
        <w:t xml:space="preserve"> </w:t>
      </w:r>
    </w:p>
    <w:p>
      <w:pPr>
        <w:snapToGrid w:val="0"/>
        <w:spacing w:line="288" w:lineRule="auto"/>
        <w:rPr>
          <w:sz w:val="28"/>
          <w:szCs w:val="28"/>
        </w:rPr>
      </w:pPr>
      <w:r>
        <w:rPr>
          <w:rFonts w:hint="eastAsia"/>
          <w:sz w:val="28"/>
          <w:szCs w:val="28"/>
        </w:rPr>
        <w:t xml:space="preserve"> </w:t>
      </w:r>
    </w:p>
    <w:p>
      <w:pPr>
        <w:snapToGrid w:val="0"/>
        <w:spacing w:line="288" w:lineRule="auto"/>
        <w:rPr>
          <w:sz w:val="28"/>
          <w:szCs w:val="28"/>
        </w:rPr>
      </w:pP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52338"/>
    <w:multiLevelType w:val="multilevel"/>
    <w:tmpl w:val="0A45233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F65655"/>
    <w:multiLevelType w:val="multilevel"/>
    <w:tmpl w:val="26F6565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63536D"/>
    <w:multiLevelType w:val="multilevel"/>
    <w:tmpl w:val="3563536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20F70BF"/>
    <w:multiLevelType w:val="multilevel"/>
    <w:tmpl w:val="420F70B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DF32561"/>
    <w:multiLevelType w:val="multilevel"/>
    <w:tmpl w:val="4DF3256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A07556"/>
    <w:multiLevelType w:val="multilevel"/>
    <w:tmpl w:val="53A0755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9071A7"/>
    <w:multiLevelType w:val="multilevel"/>
    <w:tmpl w:val="579071A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F3C476C"/>
    <w:multiLevelType w:val="multilevel"/>
    <w:tmpl w:val="5F3C476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F2822DD"/>
    <w:multiLevelType w:val="multilevel"/>
    <w:tmpl w:val="6F2822D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D2691"/>
    <w:rsid w:val="000603E8"/>
    <w:rsid w:val="0012098C"/>
    <w:rsid w:val="00133F71"/>
    <w:rsid w:val="003D2691"/>
    <w:rsid w:val="004559EF"/>
    <w:rsid w:val="00575F1B"/>
    <w:rsid w:val="00605583"/>
    <w:rsid w:val="006B19E5"/>
    <w:rsid w:val="00816E07"/>
    <w:rsid w:val="008A7DFD"/>
    <w:rsid w:val="009F6EC9"/>
    <w:rsid w:val="00C101BC"/>
    <w:rsid w:val="00D800C9"/>
    <w:rsid w:val="00ED2966"/>
    <w:rsid w:val="00EF3FEB"/>
    <w:rsid w:val="09115985"/>
    <w:rsid w:val="283459F8"/>
    <w:rsid w:val="515F1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99"/>
    <w:pPr>
      <w:keepNext/>
      <w:keepLines/>
      <w:spacing w:line="576" w:lineRule="auto"/>
      <w:outlineLvl w:val="0"/>
    </w:pPr>
    <w:rPr>
      <w:b/>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uiPriority w:val="99"/>
    <w:rPr>
      <w:sz w:val="18"/>
      <w:szCs w:val="18"/>
    </w:rPr>
  </w:style>
  <w:style w:type="paragraph" w:styleId="5">
    <w:name w:val="Title"/>
    <w:basedOn w:val="1"/>
    <w:next w:val="1"/>
    <w:link w:val="10"/>
    <w:qFormat/>
    <w:uiPriority w:val="99"/>
    <w:pPr>
      <w:spacing w:line="440" w:lineRule="exact"/>
      <w:jc w:val="center"/>
      <w:outlineLvl w:val="0"/>
    </w:pPr>
    <w:rPr>
      <w:rFonts w:ascii="Cambria" w:hAnsi="Cambria" w:eastAsia="等线"/>
      <w:b/>
      <w:bCs/>
      <w:sz w:val="28"/>
      <w:szCs w:val="28"/>
    </w:rPr>
  </w:style>
  <w:style w:type="table" w:styleId="7">
    <w:name w:val="Table Grid"/>
    <w:basedOn w:val="6"/>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9"/>
    <w:rPr>
      <w:rFonts w:ascii="Calibri" w:hAnsi="Calibri" w:eastAsia="宋体" w:cs="Times New Roman"/>
      <w:b/>
      <w:kern w:val="44"/>
      <w:sz w:val="44"/>
      <w:szCs w:val="44"/>
    </w:rPr>
  </w:style>
  <w:style w:type="character" w:customStyle="1" w:styleId="10">
    <w:name w:val="标题 Char"/>
    <w:basedOn w:val="8"/>
    <w:link w:val="5"/>
    <w:qFormat/>
    <w:uiPriority w:val="99"/>
    <w:rPr>
      <w:rFonts w:ascii="Cambria" w:hAnsi="Cambria" w:eastAsia="等线" w:cs="Times New Roman"/>
      <w:b/>
      <w:bCs/>
      <w:sz w:val="28"/>
      <w:szCs w:val="28"/>
    </w:rPr>
  </w:style>
  <w:style w:type="character" w:customStyle="1" w:styleId="11">
    <w:name w:val="批注框文本 Char"/>
    <w:basedOn w:val="8"/>
    <w:link w:val="4"/>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554</Words>
  <Characters>3164</Characters>
  <Lines>26</Lines>
  <Paragraphs>7</Paragraphs>
  <TotalTime>0</TotalTime>
  <ScaleCrop>false</ScaleCrop>
  <LinksUpToDate>false</LinksUpToDate>
  <CharactersWithSpaces>3711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2022-09-20T14:00:00Z</dcterms:created>
  <dc:creator>8615337061530</dc:creator>
  <cp:lastModifiedBy>陌桑</cp:lastModifiedBy>
  <dcterms:modified xsi:type="dcterms:W3CDTF">2023-09-02T13:55:38Z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F1AAEBCA1B7B450187D95A642111F769_13</vt:lpwstr>
  </property>
</Properties>
</file>