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宋体" w:hAnsi="宋体" w:cs="宋体"/>
          <w:b/>
          <w:sz w:val="28"/>
          <w:szCs w:val="30"/>
          <w:lang w:val="en-US" w:eastAsia="zh-Hans"/>
        </w:rPr>
        <w:t>当代视觉艺术与色彩疗愈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  <w:sz w:val="13"/>
          <w:szCs w:val="13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当代视觉艺术与色彩疗愈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 xml:space="preserve">Contemporary Visual Arts and </w:t>
            </w:r>
            <w:bookmarkStart w:id="7" w:name="_GoBack"/>
            <w:bookmarkEnd w:id="7"/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Color Healing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2138108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  <w:lang w:val="en-US" w:eastAsia="zh-CN"/>
              </w:rPr>
              <w:t>教育学院通识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2"/>
                <w:szCs w:val="21"/>
                <w:lang w:val="en-US" w:eastAsia="zh-CN"/>
              </w:rPr>
              <w:t>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公共艺术</w:t>
            </w:r>
            <w:r>
              <w:rPr>
                <w:rFonts w:hint="eastAsia"/>
                <w:color w:val="000000"/>
                <w:sz w:val="20"/>
                <w:szCs w:val="20"/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艺术理论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基础】【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当代艺术史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】</w:t>
            </w:r>
          </w:p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360" w:lineRule="exact"/>
              <w:ind w:firstLine="420" w:firstLineChars="200"/>
              <w:jc w:val="both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本课程以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知识讲解和色彩实验为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基本手段，通过丰富的艺术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色彩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处理方法帮助学生多维度地理解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当代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和色彩心理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，提升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素养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的同时对心理产生一定的疗愈作用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。课程内容主要分为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当代艺术认知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色彩认知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色彩艺术案例分析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当代艺术中色彩的表现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4大模块，从初学者的角度由浅至深逐步递进进行讲解，并穿插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当代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案例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的分享，以培养学生兴趣、引导学生积极性为目的，通过多样化的创作技法培养学生的创新性思维，让学生在实践中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体验艺术参与艺术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，帮助学生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提高艺术素养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，并具备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欣赏当代艺术和自我疗愈的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能力。本课程建议课时数32，其中实践课时数16，共计2学分。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pStyle w:val="23"/>
              <w:keepNext w:val="0"/>
              <w:keepLines w:val="0"/>
              <w:widowControl/>
              <w:suppressLineNumbers w:val="0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999490</wp:posOffset>
                  </wp:positionV>
                  <wp:extent cx="813435" cy="554990"/>
                  <wp:effectExtent l="0" t="0" r="24765" b="3810"/>
                  <wp:wrapNone/>
                  <wp:docPr id="1" name="图片 1" descr="WechatIMG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35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本课程需要对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有一定的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和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美术馆参观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经验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的学生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适合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全校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专业学生学习。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before="492" w:beforeLines="151" w:beforeAutospacing="0" w:after="329" w:afterLines="101" w:afterAutospacing="0" w:line="100" w:lineRule="exact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0" w:beforeLines="0" w:beforeAutospacing="0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了解什么是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当代艺术</w:t>
            </w: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以及发展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具备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Hans"/>
              </w:rPr>
              <w:t>当代艺术</w:t>
            </w:r>
            <w:r>
              <w:rPr>
                <w:rFonts w:hint="eastAsia" w:ascii="宋体" w:hAnsi="宋体" w:cs="宋体"/>
                <w:sz w:val="22"/>
                <w:szCs w:val="21"/>
              </w:rPr>
              <w:t>行业创意创新能力，设计创新能力及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Hans"/>
              </w:rPr>
              <w:t>色彩心理学疗愈</w:t>
            </w:r>
            <w:r>
              <w:rPr>
                <w:rFonts w:hint="eastAsia" w:ascii="宋体" w:hAnsi="宋体" w:cs="宋体"/>
                <w:sz w:val="22"/>
                <w:szCs w:val="21"/>
              </w:rPr>
              <w:t>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能学会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当代艺术的概念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善于倾听多元需求与诉求，能够通过语言、图像、视频等多种形式进行有效沟通和展示。</w:t>
            </w:r>
            <w:r>
              <w:rPr>
                <w:rFonts w:ascii="宋体" w:hAnsi="宋体" w:cs="宋体"/>
                <w:color w:val="000000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lang w:val="en-US" w:eastAsia="zh-CN"/>
              </w:rPr>
              <w:t>艺术</w:t>
            </w:r>
            <w:r>
              <w:rPr>
                <w:rFonts w:hint="eastAsia" w:cs="Times New Roman"/>
              </w:rPr>
              <w:t>专业知识与德育元素自然和谐，明确爱国、诚信、敬业、友爱的精神，建立符合社会主义道德要求的价值观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设计创作坚持对人性真善美的追求，在专业实践中关注国情与民情，结合并倡导符合马克思主义生态观的绿色、环保、可持续等理念。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LO1</w:t>
            </w:r>
            <w:bookmarkStart w:id="0" w:name="_Hlk138850595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品德修养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701" w:hRule="atLeast"/>
        </w:trPr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LO2专业能力：具备时尚行业创意创新能力。具备珠宝、服饰、美妆等领域审美创意能力，设计创新能力、品牌策划能力、时尚流行预测能力、时尚项目运营能力等。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LO6协同创新：在集体活动中能主动担任自己的角色，与其他成员密切合作，善于自我管理和团队管理，共同完成任务。有质疑精神，能有逻辑的分析与批判。能用创新的方法或者多种方法解决复杂问题或真实问题。了解行业前沿知识技术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240" w:leftChars="0"/>
              <w:jc w:val="both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de-DE" w:eastAsia="zh-CN"/>
              </w:rPr>
            </w:pPr>
            <w:r>
              <w:rPr>
                <w:rFonts w:hint="eastAsia" w:cs="Times New Roman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/>
                <w:lang w:val="de-DE"/>
              </w:rPr>
            </w:pPr>
            <w:r>
              <w:rPr>
                <w:b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宋体" w:hAnsi="宋体"/>
                <w:lang w:val="de-DE"/>
              </w:rPr>
            </w:pPr>
            <w:r>
              <w:rPr>
                <w:rFonts w:hint="eastAsia" w:eastAsia="宋体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能够通过自主学习、实践，查找并搜集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艺术与心理学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相关设计作品，对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Hans"/>
              </w:rPr>
              <w:t>艺术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保持敏锐度。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hint="default" w:eastAsia="宋体" w:cs="Times New Roman"/>
                <w:b/>
                <w:lang w:val="de-DE" w:eastAsia="zh-CN"/>
              </w:rPr>
            </w:pPr>
          </w:p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 w:cs="Times New Roman"/>
                <w:b/>
                <w:lang w:val="de-DE" w:eastAsia="zh-CN"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cs="Times New Roman"/>
                <w:bCs/>
                <w:lang w:val="de-DE"/>
              </w:rPr>
            </w:pP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eastAsia="宋体" w:cs="宋体"/>
                <w:bCs/>
              </w:rPr>
            </w:pPr>
            <w:r>
              <w:rPr>
                <w:rFonts w:hint="eastAsia" w:eastAsia="宋体" w:cs="宋体"/>
                <w:bCs/>
              </w:rPr>
              <w:t>具备时尚行业创意创新能力。具备珠宝、服饰、美妆等领域审美创意能力，设计创新能力、品牌策划能力、时尚流行预测能力、时尚项目运营能力等。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ind w:firstLine="210" w:firstLineChars="100"/>
              <w:jc w:val="both"/>
              <w:rPr>
                <w:rFonts w:hint="default" w:eastAsia="宋体" w:cs="Times New Roman"/>
                <w:b/>
                <w:lang w:val="de-DE" w:eastAsia="zh-CN"/>
              </w:rPr>
            </w:pPr>
          </w:p>
          <w:p>
            <w:pPr>
              <w:pStyle w:val="14"/>
              <w:ind w:firstLine="210" w:firstLineChars="100"/>
              <w:jc w:val="both"/>
              <w:rPr>
                <w:rFonts w:hint="default" w:eastAsia="宋体" w:cs="Times New Roman"/>
                <w:b/>
                <w:lang w:val="en-US" w:eastAsia="zh-CN"/>
              </w:rPr>
            </w:pPr>
            <w:r>
              <w:rPr>
                <w:rFonts w:hint="default" w:eastAsia="宋体" w:cs="Times New Roman"/>
                <w:b/>
                <w:lang w:val="de-DE" w:eastAsia="zh-CN"/>
              </w:rPr>
              <w:t>Lo</w:t>
            </w:r>
            <w:r>
              <w:rPr>
                <w:rFonts w:hint="eastAsia" w:eastAsia="宋体" w:cs="Times New Roman"/>
                <w:b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Cambria Math" w:hAnsi="Cambria Math" w:cs="Cambria Math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eastAsia="宋体" w:cs="Times New Roman"/>
                <w:lang w:val="de-DE"/>
              </w:rPr>
            </w:pPr>
            <w:r>
              <w:rPr>
                <w:rFonts w:hint="eastAsia" w:eastAsia="宋体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tabs>
                <w:tab w:val="left" w:pos="4200"/>
              </w:tabs>
              <w:spacing w:line="240" w:lineRule="auto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能搜集、获取达到目标所需要的学习资源，实施学习计划、反思学习计划、持续改进，达到学习目标。</w:t>
            </w:r>
          </w:p>
          <w:p>
            <w:pPr>
              <w:pStyle w:val="14"/>
              <w:jc w:val="left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cs="Times New Roman"/>
                <w:b/>
              </w:rPr>
            </w:pPr>
          </w:p>
          <w:p>
            <w:pPr>
              <w:pStyle w:val="14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4200"/>
              </w:tabs>
              <w:spacing w:line="440" w:lineRule="exact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能用创新的方法或者多种方法解决复杂问题或真实问题。</w:t>
            </w:r>
          </w:p>
          <w:p>
            <w:pPr>
              <w:pStyle w:val="14"/>
              <w:jc w:val="left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0" w:hRule="atLeast"/>
        </w:trPr>
        <w:tc>
          <w:tcPr>
            <w:tcW w:w="8552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</w:pPr>
            <w:bookmarkStart w:id="1" w:name="OLE_LINK6"/>
            <w:bookmarkStart w:id="2" w:name="OLE_LINK5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第一单元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当代艺术认知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核心知识点：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预期学习成果：</w:t>
            </w:r>
            <w:r>
              <w:rPr>
                <w:rFonts w:hint="eastAsia"/>
                <w:color w:val="000000"/>
                <w:sz w:val="20"/>
                <w:szCs w:val="20"/>
              </w:rPr>
              <w:t>能够理解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的概念、起源、发展及现状，了解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</w:t>
            </w:r>
            <w:r>
              <w:rPr>
                <w:rFonts w:hint="eastAsia"/>
                <w:color w:val="000000"/>
                <w:sz w:val="20"/>
                <w:szCs w:val="20"/>
              </w:rPr>
              <w:t>艺术的魅力。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教学难点：引导学生产生对美术馆的兴趣。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第二单元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美术馆与当代艺术的关系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2-1核心知识点：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能学会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当代艺术的概念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2-2预期学习成果：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看懂布展与空间的基础概念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2-3教学难点：</w:t>
            </w:r>
            <w:r>
              <w:rPr>
                <w:rFonts w:hint="eastAsia"/>
                <w:color w:val="000000"/>
                <w:sz w:val="20"/>
                <w:szCs w:val="20"/>
              </w:rPr>
              <w:t>培养学生对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美术馆的认知</w:t>
            </w:r>
            <w:r>
              <w:rPr>
                <w:rFonts w:hint="eastAsia"/>
                <w:color w:val="000000"/>
                <w:sz w:val="20"/>
                <w:szCs w:val="20"/>
              </w:rPr>
              <w:t>，激发学习兴趣，提高审美情趣。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第三单元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什么是当代艺术</w:t>
            </w:r>
          </w:p>
          <w:p>
            <w:pPr>
              <w:widowControl w:val="0"/>
              <w:ind w:left="200" w:hanging="21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3-1核心知识点：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</w:t>
            </w:r>
            <w:r>
              <w:rPr>
                <w:rFonts w:hint="eastAsia"/>
                <w:color w:val="000000"/>
                <w:sz w:val="20"/>
                <w:szCs w:val="20"/>
              </w:rPr>
              <w:t>原理；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3-2预期学习成果：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当代艺术的起源</w:t>
            </w:r>
          </w:p>
          <w:p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3-3教学难点：</w:t>
            </w:r>
            <w:r>
              <w:rPr>
                <w:rFonts w:hint="eastAsia"/>
                <w:color w:val="000000"/>
                <w:sz w:val="20"/>
                <w:szCs w:val="20"/>
              </w:rPr>
              <w:t>培养学生对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</w:t>
            </w:r>
            <w:r>
              <w:rPr>
                <w:rFonts w:hint="eastAsia"/>
                <w:color w:val="000000"/>
                <w:sz w:val="20"/>
                <w:szCs w:val="20"/>
              </w:rPr>
              <w:t>艺术的了解，弘扬我国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当代艺术发展</w:t>
            </w:r>
            <w:r>
              <w:rPr>
                <w:rFonts w:hint="eastAsia"/>
                <w:color w:val="000000"/>
                <w:sz w:val="20"/>
                <w:szCs w:val="20"/>
              </w:rPr>
              <w:t>，激发学习兴趣，提高审美情趣。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第四单元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当代艺术认知</w:t>
            </w:r>
          </w:p>
          <w:p>
            <w:pPr>
              <w:widowControl w:val="0"/>
              <w:ind w:left="200" w:hanging="210" w:hangingChars="100"/>
              <w:jc w:val="left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4-1核心知识点：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了解美术馆为我们提供什么样的体验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4-2预期学习成果：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掌握多样化的创作手法，提升画面表现力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4-3教学难点：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理解观察的重要性，提升对轮廓及色彩的掌控力</w:t>
            </w:r>
          </w:p>
        </w:tc>
      </w:tr>
      <w:bookmarkEnd w:id="1"/>
      <w:bookmarkEnd w:id="2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925"/>
        <w:gridCol w:w="628"/>
        <w:gridCol w:w="585"/>
        <w:gridCol w:w="658"/>
        <w:gridCol w:w="587"/>
        <w:gridCol w:w="575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492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628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57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5" w:type="dxa"/>
            <w:tcBorders>
              <w:left w:val="single" w:color="auto" w:sz="12" w:space="0"/>
            </w:tcBorders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第一单元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当代艺术认知</w:t>
            </w:r>
          </w:p>
        </w:tc>
        <w:tc>
          <w:tcPr>
            <w:tcW w:w="628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pStyle w:val="14"/>
            </w:pPr>
          </w:p>
        </w:tc>
        <w:tc>
          <w:tcPr>
            <w:tcW w:w="658" w:type="dxa"/>
            <w:vAlign w:val="center"/>
          </w:tcPr>
          <w:p>
            <w:pPr>
              <w:pStyle w:val="14"/>
            </w:pPr>
          </w:p>
        </w:tc>
        <w:tc>
          <w:tcPr>
            <w:tcW w:w="58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5" w:type="dxa"/>
            <w:tcBorders>
              <w:left w:val="single" w:color="auto" w:sz="12" w:space="0"/>
            </w:tcBorders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第二单元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当代视觉艺术</w:t>
            </w:r>
          </w:p>
        </w:tc>
        <w:tc>
          <w:tcPr>
            <w:tcW w:w="628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pStyle w:val="14"/>
            </w:pPr>
          </w:p>
        </w:tc>
        <w:tc>
          <w:tcPr>
            <w:tcW w:w="58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5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5" w:type="dxa"/>
            <w:tcBorders>
              <w:left w:val="single" w:color="auto" w:sz="12" w:space="0"/>
            </w:tcBorders>
          </w:tcPr>
          <w:p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当代艺术中色彩应用</w:t>
            </w:r>
          </w:p>
        </w:tc>
        <w:tc>
          <w:tcPr>
            <w:tcW w:w="628" w:type="dxa"/>
            <w:vAlign w:val="center"/>
          </w:tcPr>
          <w:p>
            <w:pPr>
              <w:pStyle w:val="14"/>
            </w:pPr>
          </w:p>
        </w:tc>
        <w:tc>
          <w:tcPr>
            <w:tcW w:w="585" w:type="dxa"/>
            <w:vAlign w:val="center"/>
          </w:tcPr>
          <w:p>
            <w:pPr>
              <w:pStyle w:val="14"/>
            </w:pPr>
          </w:p>
        </w:tc>
        <w:tc>
          <w:tcPr>
            <w:tcW w:w="658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5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视觉与心理疗愈</w:t>
            </w:r>
          </w:p>
        </w:tc>
        <w:tc>
          <w:tcPr>
            <w:tcW w:w="628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58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658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7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57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37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17"/>
        <w:spacing w:before="326" w:beforeLines="100" w:after="163"/>
        <w:rPr>
          <w:rFonts w:hint="eastAsia"/>
        </w:rPr>
      </w:pPr>
    </w:p>
    <w:p>
      <w:pPr>
        <w:pStyle w:val="17"/>
        <w:spacing w:before="326" w:beforeLines="100" w:after="163"/>
        <w:rPr>
          <w:rFonts w:hint="eastAsia"/>
        </w:rPr>
      </w:pPr>
    </w:p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271"/>
        <w:gridCol w:w="2356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27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3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271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35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227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第一单元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当代艺术认知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理论考核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第二单元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当代视觉艺术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理论考核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单元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当代艺术中色彩应用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理论讲解，软件实训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理论考核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单元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Hans"/>
              </w:rPr>
              <w:t>视觉与心理疗愈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独立创作，创意指导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创作考核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在将思想政治教育与艺术专业知识相结合，培养德艺双馨的美术人才。本课程以社会主义核心价值观为指导，以中华优秀传统文化为核心，通过多样化的教学手段，引导学生树立正确的审美观念，增强文化自信，培养爱国情怀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知识目标：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帮助学生发掘自己的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Hans"/>
              </w:rPr>
              <w:t>喜好，更好的认知当代艺术和自主心理疗愈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 能力目标：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需引导学生更深入更多面地理解绘画，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Hans"/>
              </w:rPr>
              <w:t>和色彩艺术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掌握多样的表现方法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 素质目标：培养良好的审美情趣和人文素养，树立正确的价值观，增强文化自信和民族自豪感。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84"/>
        <w:gridCol w:w="1930"/>
        <w:gridCol w:w="812"/>
        <w:gridCol w:w="729"/>
        <w:gridCol w:w="761"/>
        <w:gridCol w:w="710"/>
        <w:gridCol w:w="578"/>
        <w:gridCol w:w="578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8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68" w:type="dxa"/>
            <w:gridSpan w:val="6"/>
            <w:tcBorders>
              <w:top w:val="single" w:color="auto" w:sz="12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7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8" w:type="dxa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578" w:type="dxa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8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84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</w:rPr>
              <w:t>%</w:t>
            </w:r>
          </w:p>
        </w:tc>
        <w:tc>
          <w:tcPr>
            <w:tcW w:w="1930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出勤考核</w:t>
            </w:r>
          </w:p>
        </w:tc>
        <w:tc>
          <w:tcPr>
            <w:tcW w:w="8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84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</w:rPr>
              <w:t>%</w:t>
            </w:r>
          </w:p>
        </w:tc>
        <w:tc>
          <w:tcPr>
            <w:tcW w:w="1930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课堂测试</w:t>
            </w:r>
          </w:p>
        </w:tc>
        <w:tc>
          <w:tcPr>
            <w:tcW w:w="8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84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</w:rPr>
              <w:t>%</w:t>
            </w:r>
          </w:p>
        </w:tc>
        <w:tc>
          <w:tcPr>
            <w:tcW w:w="1930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学生根据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Hans"/>
              </w:rPr>
              <w:t>课程内容选择一个颜色或主题做出一副作品</w:t>
            </w:r>
          </w:p>
        </w:tc>
        <w:tc>
          <w:tcPr>
            <w:tcW w:w="8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30</w:t>
            </w:r>
          </w:p>
        </w:tc>
        <w:tc>
          <w:tcPr>
            <w:tcW w:w="57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一场展览观后感分享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知识及概念掌握全面，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展示建立丰富的创作逻辑和视觉语言，完成度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90%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以上。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知识及概念掌握较全面，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展示建立比较系统的创作逻辑和视觉语言，完成度75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以上。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知识及概念掌握程度一般，不能正确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展示初步建立的创作逻辑和视觉语言，完成度60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以上。</w:t>
            </w:r>
          </w:p>
        </w:tc>
        <w:tc>
          <w:tcPr>
            <w:tcW w:w="1445" w:type="dxa"/>
          </w:tcPr>
          <w:p>
            <w:pPr>
              <w:pStyle w:val="6"/>
              <w:widowControl/>
              <w:shd w:val="clear" w:color="auto" w:fill="FFFFFF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没有掌握知识及概念，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没有展示不能建立建立系统逻辑和视觉语言，完成度低于60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F345"/>
    <w:multiLevelType w:val="singleLevel"/>
    <w:tmpl w:val="98FEF3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FC1620"/>
    <w:multiLevelType w:val="multilevel"/>
    <w:tmpl w:val="27FC16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F2CA1C7"/>
    <w:rsid w:val="22987C80"/>
    <w:rsid w:val="24192CCC"/>
    <w:rsid w:val="39A66CD4"/>
    <w:rsid w:val="3CD52CE1"/>
    <w:rsid w:val="3D3F90BC"/>
    <w:rsid w:val="3DFF0D9E"/>
    <w:rsid w:val="3EBBB628"/>
    <w:rsid w:val="3EFFB9C4"/>
    <w:rsid w:val="3FFDA7EB"/>
    <w:rsid w:val="3FFE1292"/>
    <w:rsid w:val="410F2E6A"/>
    <w:rsid w:val="4430136C"/>
    <w:rsid w:val="4AB0382B"/>
    <w:rsid w:val="569868B5"/>
    <w:rsid w:val="5DFB0A7C"/>
    <w:rsid w:val="5EFF8049"/>
    <w:rsid w:val="5F03A054"/>
    <w:rsid w:val="5FB57946"/>
    <w:rsid w:val="611F6817"/>
    <w:rsid w:val="66CA1754"/>
    <w:rsid w:val="6DF2B36F"/>
    <w:rsid w:val="6E0C1285"/>
    <w:rsid w:val="6F1E65D4"/>
    <w:rsid w:val="6F266C86"/>
    <w:rsid w:val="6F5042C2"/>
    <w:rsid w:val="6F7D5EEC"/>
    <w:rsid w:val="6FDB8F74"/>
    <w:rsid w:val="719139C6"/>
    <w:rsid w:val="74316312"/>
    <w:rsid w:val="75E68322"/>
    <w:rsid w:val="76DF2407"/>
    <w:rsid w:val="76F05EA0"/>
    <w:rsid w:val="780F13C8"/>
    <w:rsid w:val="7BBEE8CA"/>
    <w:rsid w:val="7C385448"/>
    <w:rsid w:val="7CB3663D"/>
    <w:rsid w:val="7E7FC771"/>
    <w:rsid w:val="7EFF1D38"/>
    <w:rsid w:val="7FDAA87C"/>
    <w:rsid w:val="AE952485"/>
    <w:rsid w:val="B771A571"/>
    <w:rsid w:val="CDFFC64B"/>
    <w:rsid w:val="D9BF1A12"/>
    <w:rsid w:val="DBE259B2"/>
    <w:rsid w:val="DCAEDFB8"/>
    <w:rsid w:val="DF7F4646"/>
    <w:rsid w:val="DFF3CB72"/>
    <w:rsid w:val="DFFFCC7F"/>
    <w:rsid w:val="E3EF543D"/>
    <w:rsid w:val="E9CD3977"/>
    <w:rsid w:val="EA513498"/>
    <w:rsid w:val="EEFCBA62"/>
    <w:rsid w:val="EF7CEC78"/>
    <w:rsid w:val="FD7EA3D0"/>
    <w:rsid w:val="FEFED2BD"/>
    <w:rsid w:val="FF1F0B3D"/>
    <w:rsid w:val="FF6C678F"/>
    <w:rsid w:val="FFADFBD7"/>
    <w:rsid w:val="FFBF9E29"/>
    <w:rsid w:val="FFE7E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2023-11-23T10:39:00Z</dcterms:created>
  <dc:creator>juvg</dc:creator>
  <cp:lastModifiedBy>三胖借我那把枪吧</cp:lastModifiedBy>
  <cp:lastPrinted>2023-11-23T08:52:00Z</cp:lastPrinted>
  <dcterms:modified xsi:type="dcterms:W3CDTF">2024-04-29T10:25:56Z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ED1026A54E7A0E1113122B66D0C12FB5_43</vt:lpwstr>
  </property>
</Properties>
</file>