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F63FE">
      <w:pPr>
        <w:widowControl/>
        <w:jc w:val="left"/>
        <w:rPr>
          <w:rFonts w:ascii="方正小标宋简体" w:hAnsi="宋体" w:eastAsia="方正小标宋简体"/>
          <w:bCs/>
          <w:kern w:val="0"/>
          <w:sz w:val="24"/>
          <w:szCs w:val="24"/>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206B52F9">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14:paraId="206B52F9">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14:paraId="41DC8891">
      <w:pPr>
        <w:spacing w:line="288" w:lineRule="auto"/>
        <w:jc w:val="center"/>
        <w:rPr>
          <w:b/>
          <w:sz w:val="28"/>
          <w:szCs w:val="30"/>
        </w:rPr>
      </w:pPr>
      <w:r>
        <w:rPr>
          <w:rFonts w:hint="eastAsia"/>
          <w:b/>
          <w:sz w:val="28"/>
          <w:szCs w:val="30"/>
        </w:rPr>
        <w:t>【</w:t>
      </w:r>
      <w:r>
        <w:rPr>
          <w:rFonts w:hint="eastAsia"/>
          <w:b/>
          <w:sz w:val="28"/>
          <w:szCs w:val="30"/>
          <w:lang w:val="en-US" w:eastAsia="zh-CN"/>
        </w:rPr>
        <w:t>专业实践2</w:t>
      </w:r>
      <w:r>
        <w:rPr>
          <w:rFonts w:hint="eastAsia"/>
          <w:b/>
          <w:sz w:val="28"/>
          <w:szCs w:val="30"/>
        </w:rPr>
        <w:t>】</w:t>
      </w:r>
    </w:p>
    <w:p w14:paraId="4DED4DBB">
      <w:pPr>
        <w:shd w:val="clear" w:color="auto" w:fill="F5F5F5"/>
        <w:jc w:val="center"/>
        <w:textAlignment w:val="top"/>
        <w:rPr>
          <w:rFonts w:ascii="Arial" w:hAnsi="Arial" w:cs="Arial"/>
          <w:color w:val="888888"/>
          <w:kern w:val="0"/>
          <w:sz w:val="20"/>
          <w:szCs w:val="20"/>
        </w:rPr>
      </w:pPr>
      <w:bookmarkStart w:id="0" w:name="a2"/>
      <w:bookmarkEnd w:id="0"/>
      <w:r>
        <w:rPr>
          <w:rFonts w:hint="eastAsia"/>
          <w:b/>
          <w:sz w:val="28"/>
          <w:szCs w:val="30"/>
        </w:rPr>
        <w:t>【Professional practice</w:t>
      </w:r>
      <w:r>
        <w:rPr>
          <w:rFonts w:hint="eastAsia"/>
          <w:b/>
          <w:sz w:val="28"/>
          <w:szCs w:val="30"/>
          <w:lang w:val="en-US" w:eastAsia="zh-CN"/>
        </w:rPr>
        <w:t>2</w:t>
      </w:r>
      <w:r>
        <w:rPr>
          <w:rFonts w:hint="eastAsia"/>
          <w:b/>
          <w:sz w:val="28"/>
          <w:szCs w:val="30"/>
        </w:rPr>
        <w:t>】</w:t>
      </w:r>
    </w:p>
    <w:p w14:paraId="5ACDD645">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34C3E1A3">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szCs w:val="21"/>
        </w:rPr>
        <w:t>213900</w:t>
      </w:r>
      <w:r>
        <w:rPr>
          <w:rFonts w:hint="eastAsia" w:ascii="宋体" w:hAnsi="宋体"/>
          <w:szCs w:val="21"/>
          <w:lang w:val="en-US" w:eastAsia="zh-CN"/>
        </w:rPr>
        <w:t>9</w:t>
      </w:r>
      <w:r>
        <w:rPr>
          <w:color w:val="000000"/>
          <w:sz w:val="20"/>
          <w:szCs w:val="20"/>
        </w:rPr>
        <w:t>】</w:t>
      </w:r>
    </w:p>
    <w:p w14:paraId="5D0B2CEB">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1AD7407A">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w:t>
      </w:r>
      <w:r>
        <w:rPr>
          <w:color w:val="000000"/>
          <w:sz w:val="20"/>
          <w:szCs w:val="20"/>
        </w:rPr>
        <w:t>】</w:t>
      </w:r>
    </w:p>
    <w:p w14:paraId="7F8F4068">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CN"/>
        </w:rPr>
        <w:t>集中实践教学</w:t>
      </w:r>
      <w:r>
        <w:rPr>
          <w:color w:val="000000"/>
          <w:sz w:val="20"/>
          <w:szCs w:val="20"/>
        </w:rPr>
        <w:t>】</w:t>
      </w:r>
    </w:p>
    <w:p w14:paraId="7D710C07">
      <w:pPr>
        <w:snapToGrid w:val="0"/>
        <w:spacing w:line="288" w:lineRule="auto"/>
        <w:ind w:firstLine="392" w:firstLineChars="196"/>
        <w:rPr>
          <w:b/>
          <w:bCs/>
          <w:color w:val="000000"/>
          <w:szCs w:val="21"/>
        </w:rPr>
      </w:pPr>
      <w:r>
        <w:rPr>
          <w:b/>
          <w:bCs/>
          <w:color w:val="000000"/>
          <w:sz w:val="20"/>
          <w:szCs w:val="20"/>
        </w:rPr>
        <w:t>开课院系：</w:t>
      </w:r>
      <w:r>
        <w:rPr>
          <w:rFonts w:hint="eastAsia"/>
          <w:b/>
          <w:bCs/>
          <w:color w:val="000000"/>
          <w:sz w:val="20"/>
          <w:szCs w:val="20"/>
          <w:lang w:val="en-US" w:eastAsia="zh-CN"/>
        </w:rPr>
        <w:t>教育学院</w:t>
      </w:r>
      <w:r>
        <w:rPr>
          <w:rFonts w:hint="eastAsia"/>
          <w:b/>
          <w:bCs/>
          <w:color w:val="000000"/>
          <w:sz w:val="20"/>
          <w:szCs w:val="20"/>
        </w:rPr>
        <w:t>学前教育系</w:t>
      </w:r>
    </w:p>
    <w:p w14:paraId="6A1E8FA1">
      <w:pPr>
        <w:numPr>
          <w:ilvl w:val="0"/>
          <w:numId w:val="0"/>
        </w:numPr>
        <w:snapToGrid w:val="0"/>
        <w:spacing w:line="288" w:lineRule="auto"/>
        <w:ind w:firstLine="400" w:firstLineChars="200"/>
        <w:rPr>
          <w:rFonts w:hint="eastAsia" w:eastAsia="宋体"/>
          <w:color w:val="000000"/>
          <w:szCs w:val="21"/>
          <w:lang w:val="en-US" w:eastAsia="zh-CN"/>
        </w:rPr>
      </w:pPr>
      <w:r>
        <w:rPr>
          <w:b/>
          <w:bCs/>
          <w:color w:val="000000"/>
          <w:sz w:val="20"/>
          <w:szCs w:val="20"/>
        </w:rPr>
        <w:t>使用教材</w:t>
      </w:r>
      <w:r>
        <w:rPr>
          <w:rFonts w:hint="eastAsia"/>
          <w:b/>
          <w:bCs/>
          <w:color w:val="000000"/>
          <w:sz w:val="20"/>
          <w:szCs w:val="20"/>
        </w:rPr>
        <w:t>：</w:t>
      </w:r>
      <w:r>
        <w:rPr>
          <w:rFonts w:hint="eastAsia"/>
          <w:b/>
          <w:bCs/>
          <w:color w:val="000000"/>
          <w:sz w:val="20"/>
          <w:szCs w:val="20"/>
          <w:lang w:val="en-US" w:eastAsia="zh-CN"/>
        </w:rPr>
        <w:t>无</w:t>
      </w:r>
    </w:p>
    <w:p w14:paraId="29D29A50">
      <w:pPr>
        <w:snapToGrid w:val="0"/>
        <w:spacing w:line="288" w:lineRule="auto"/>
        <w:ind w:firstLine="392" w:firstLineChars="196"/>
        <w:jc w:val="left"/>
        <w:rPr>
          <w:rFonts w:hint="eastAsia" w:ascii="黑体" w:hAnsi="宋体" w:eastAsia="宋体"/>
          <w:sz w:val="24"/>
          <w:lang w:val="en-US" w:eastAsia="zh-CN"/>
        </w:rPr>
      </w:pPr>
      <w:r>
        <w:rPr>
          <w:rFonts w:hint="eastAsia"/>
          <w:b/>
          <w:bCs/>
          <w:color w:val="000000"/>
          <w:sz w:val="20"/>
          <w:szCs w:val="20"/>
        </w:rPr>
        <w:t>课程网站网址：</w:t>
      </w:r>
      <w:r>
        <w:rPr>
          <w:rFonts w:hint="eastAsia"/>
          <w:b/>
          <w:bCs/>
          <w:color w:val="000000"/>
          <w:sz w:val="20"/>
          <w:szCs w:val="20"/>
          <w:lang w:val="en-US" w:eastAsia="zh-CN"/>
        </w:rPr>
        <w:t>无</w:t>
      </w:r>
    </w:p>
    <w:p w14:paraId="4AE650C7">
      <w:pPr>
        <w:adjustRightInd w:val="0"/>
        <w:snapToGrid w:val="0"/>
        <w:spacing w:before="156" w:beforeLines="50" w:after="156" w:afterLines="50" w:line="288" w:lineRule="auto"/>
        <w:ind w:firstLine="240" w:firstLineChars="100"/>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195D9C6B">
      <w:pPr>
        <w:snapToGrid w:val="0"/>
        <w:spacing w:line="288" w:lineRule="auto"/>
        <w:ind w:firstLine="400" w:firstLineChars="200"/>
        <w:rPr>
          <w:rFonts w:hint="eastAsia"/>
          <w:color w:val="000000"/>
          <w:sz w:val="20"/>
          <w:szCs w:val="20"/>
        </w:rPr>
      </w:pPr>
      <w:r>
        <w:rPr>
          <w:rFonts w:hint="eastAsia"/>
          <w:color w:val="000000"/>
          <w:sz w:val="20"/>
          <w:szCs w:val="20"/>
        </w:rPr>
        <w:t>学前教育专业培养“反思性幼儿教育实践者”，实践教学是教育教学能力培养的重要途径和有力手段，是学前教育专业课程的重要组成部分。通过践行以“实践浸润、问题导向、案例反思”为基本理念的专业人才培养路径，贯穿全程的浸润式实践，使理论学习、实践反思紧密结合。实践者立足真实的保教情境，在问题的发现和解决中强化学前教育专业综合能力学习，培养学前教育专业综合素质，激发热爱学前教育专业情感。</w:t>
      </w:r>
    </w:p>
    <w:p w14:paraId="6DA0743C">
      <w:pPr>
        <w:snapToGrid w:val="0"/>
        <w:spacing w:line="288" w:lineRule="auto"/>
        <w:ind w:firstLine="400" w:firstLineChars="200"/>
        <w:rPr>
          <w:rFonts w:hint="eastAsia" w:eastAsia="宋体"/>
          <w:color w:val="000000"/>
          <w:sz w:val="20"/>
          <w:szCs w:val="20"/>
          <w:lang w:eastAsia="zh-CN"/>
        </w:rPr>
      </w:pPr>
      <w:r>
        <w:rPr>
          <w:rFonts w:hint="eastAsia"/>
          <w:color w:val="000000"/>
          <w:sz w:val="20"/>
          <w:szCs w:val="20"/>
        </w:rPr>
        <w:t>《</w:t>
      </w:r>
      <w:r>
        <w:rPr>
          <w:rFonts w:hint="eastAsia"/>
          <w:color w:val="000000"/>
          <w:sz w:val="20"/>
          <w:szCs w:val="20"/>
          <w:lang w:val="en-US" w:eastAsia="zh-CN"/>
        </w:rPr>
        <w:t>专业实践2</w:t>
      </w:r>
      <w:r>
        <w:rPr>
          <w:rFonts w:hint="eastAsia"/>
          <w:color w:val="000000"/>
          <w:sz w:val="20"/>
          <w:szCs w:val="20"/>
        </w:rPr>
        <w:t>》是旨在培养学生专业实践能力与专业反思能力的实践课程。通过深入保教现场观察与思考，分析游戏与幼儿发展的关系问题</w:t>
      </w:r>
      <w:r>
        <w:rPr>
          <w:rFonts w:hint="eastAsia"/>
          <w:color w:val="000000"/>
          <w:sz w:val="20"/>
          <w:szCs w:val="20"/>
          <w:lang w:eastAsia="zh-CN"/>
        </w:rPr>
        <w:t>，</w:t>
      </w:r>
      <w:r>
        <w:rPr>
          <w:rFonts w:hint="eastAsia"/>
          <w:color w:val="000000"/>
          <w:sz w:val="20"/>
          <w:szCs w:val="20"/>
        </w:rPr>
        <w:t>理解幼儿观察与课程生长的关系问题</w:t>
      </w:r>
      <w:r>
        <w:rPr>
          <w:rFonts w:hint="eastAsia"/>
          <w:color w:val="000000"/>
          <w:sz w:val="20"/>
          <w:szCs w:val="20"/>
          <w:lang w:eastAsia="zh-CN"/>
        </w:rPr>
        <w:t>，</w:t>
      </w:r>
      <w:r>
        <w:rPr>
          <w:rFonts w:hint="eastAsia"/>
          <w:color w:val="000000"/>
          <w:sz w:val="20"/>
          <w:szCs w:val="20"/>
        </w:rPr>
        <w:t>评价家庭及社区合作及现实中的问题</w:t>
      </w:r>
      <w:r>
        <w:rPr>
          <w:rFonts w:hint="eastAsia"/>
          <w:color w:val="000000"/>
          <w:sz w:val="20"/>
          <w:szCs w:val="20"/>
          <w:lang w:eastAsia="zh-CN"/>
        </w:rPr>
        <w:t>，</w:t>
      </w:r>
      <w:r>
        <w:rPr>
          <w:rFonts w:hint="eastAsia"/>
          <w:color w:val="000000"/>
          <w:sz w:val="20"/>
          <w:szCs w:val="20"/>
        </w:rPr>
        <w:t>理解幼儿园领域教育及其实施的合理性思考</w:t>
      </w:r>
      <w:r>
        <w:rPr>
          <w:rFonts w:hint="eastAsia"/>
          <w:color w:val="000000"/>
          <w:sz w:val="20"/>
          <w:szCs w:val="20"/>
          <w:lang w:eastAsia="zh-CN"/>
        </w:rPr>
        <w:t>，理解一日生活充满伦理的意味，分析幼儿园环境创设的综合理解，进一步分析与评价幼儿园环境中的材料，理解五大领域与幼儿园课程的关系。</w:t>
      </w:r>
    </w:p>
    <w:p w14:paraId="2BA3E59C">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34D585CA">
      <w:pPr>
        <w:snapToGrid w:val="0"/>
        <w:spacing w:line="288" w:lineRule="auto"/>
        <w:ind w:firstLine="400" w:firstLineChars="200"/>
        <w:rPr>
          <w:rFonts w:hint="eastAsia" w:eastAsia="宋体"/>
          <w:color w:val="000000"/>
          <w:sz w:val="20"/>
          <w:szCs w:val="20"/>
          <w:lang w:eastAsia="zh-CN"/>
        </w:rPr>
      </w:pPr>
      <w:r>
        <w:rPr>
          <w:rFonts w:hint="eastAsia"/>
          <w:color w:val="000000"/>
          <w:sz w:val="20"/>
          <w:szCs w:val="20"/>
        </w:rPr>
        <w:t>本课程适合学前教育</w:t>
      </w:r>
      <w:r>
        <w:rPr>
          <w:rFonts w:hint="eastAsia"/>
          <w:color w:val="000000"/>
          <w:sz w:val="20"/>
          <w:szCs w:val="20"/>
          <w:lang w:val="en-US" w:eastAsia="zh-CN"/>
        </w:rPr>
        <w:t>专业大三年级</w:t>
      </w:r>
      <w:r>
        <w:rPr>
          <w:rFonts w:hint="eastAsia"/>
          <w:color w:val="000000"/>
          <w:sz w:val="20"/>
          <w:szCs w:val="20"/>
        </w:rPr>
        <w:t>学生</w:t>
      </w:r>
      <w:r>
        <w:rPr>
          <w:rFonts w:hint="eastAsia"/>
          <w:color w:val="000000"/>
          <w:sz w:val="20"/>
          <w:szCs w:val="20"/>
          <w:lang w:eastAsia="zh-CN"/>
        </w:rPr>
        <w:t>。</w:t>
      </w:r>
    </w:p>
    <w:p w14:paraId="2FD27ABA">
      <w:pPr>
        <w:snapToGrid w:val="0"/>
        <w:spacing w:line="288" w:lineRule="auto"/>
        <w:ind w:firstLine="400" w:firstLineChars="200"/>
        <w:rPr>
          <w:rFonts w:hint="eastAsia"/>
          <w:color w:val="000000"/>
          <w:sz w:val="20"/>
          <w:szCs w:val="20"/>
        </w:rPr>
      </w:pPr>
    </w:p>
    <w:p w14:paraId="41A268F2">
      <w:pPr>
        <w:widowControl/>
        <w:numPr>
          <w:ilvl w:val="0"/>
          <w:numId w:val="1"/>
        </w:numPr>
        <w:spacing w:beforeLines="50" w:afterLines="50" w:line="288" w:lineRule="auto"/>
        <w:ind w:left="60" w:leftChars="0" w:firstLine="360" w:firstLineChars="0"/>
        <w:jc w:val="left"/>
        <w:rPr>
          <w:rFonts w:ascii="黑体" w:hAnsi="宋体" w:eastAsia="黑体"/>
          <w:sz w:val="24"/>
        </w:rPr>
      </w:pP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6"/>
        <w:tblpPr w:leftFromText="180" w:rightFromText="180" w:vertAnchor="text" w:horzAnchor="page" w:tblpX="1916" w:tblpY="242"/>
        <w:tblOverlap w:val="never"/>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7"/>
        <w:gridCol w:w="1242"/>
      </w:tblGrid>
      <w:tr w14:paraId="4B658676">
        <w:tc>
          <w:tcPr>
            <w:tcW w:w="7257" w:type="dxa"/>
            <w:tcBorders>
              <w:top w:val="single" w:color="auto" w:sz="4" w:space="0"/>
              <w:left w:val="single" w:color="auto" w:sz="4" w:space="0"/>
              <w:bottom w:val="single" w:color="auto" w:sz="4" w:space="0"/>
              <w:right w:val="single" w:color="auto" w:sz="4" w:space="0"/>
            </w:tcBorders>
          </w:tcPr>
          <w:p w14:paraId="21168DC9">
            <w:pPr>
              <w:ind w:firstLine="400"/>
              <w:jc w:val="center"/>
              <w:rPr>
                <w:rFonts w:ascii="黑体" w:hAnsi="黑体" w:eastAsia="黑体" w:cs="黑体"/>
              </w:rPr>
            </w:pPr>
            <w:r>
              <w:rPr>
                <w:rFonts w:hint="eastAsia" w:ascii="黑体" w:hAnsi="黑体" w:eastAsia="黑体" w:cs="黑体"/>
              </w:rPr>
              <w:t>专业毕业要求</w:t>
            </w:r>
          </w:p>
        </w:tc>
        <w:tc>
          <w:tcPr>
            <w:tcW w:w="1242" w:type="dxa"/>
            <w:tcBorders>
              <w:top w:val="single" w:color="auto" w:sz="4" w:space="0"/>
              <w:left w:val="single" w:color="auto" w:sz="4" w:space="0"/>
              <w:bottom w:val="single" w:color="auto" w:sz="4" w:space="0"/>
              <w:right w:val="single" w:color="auto" w:sz="4" w:space="0"/>
            </w:tcBorders>
          </w:tcPr>
          <w:p w14:paraId="4B84583A">
            <w:pPr>
              <w:ind w:firstLine="400"/>
              <w:jc w:val="center"/>
              <w:rPr>
                <w:rFonts w:ascii="黑体" w:hAnsi="黑体" w:eastAsia="黑体" w:cs="黑体"/>
              </w:rPr>
            </w:pPr>
            <w:r>
              <w:rPr>
                <w:rFonts w:hint="eastAsia" w:ascii="黑体" w:hAnsi="黑体" w:eastAsia="黑体" w:cs="黑体"/>
              </w:rPr>
              <w:t>关联</w:t>
            </w:r>
          </w:p>
        </w:tc>
      </w:tr>
      <w:tr w14:paraId="5DF434BB">
        <w:tc>
          <w:tcPr>
            <w:tcW w:w="8499" w:type="dxa"/>
            <w:gridSpan w:val="2"/>
            <w:tcBorders>
              <w:top w:val="single" w:color="auto" w:sz="4" w:space="0"/>
              <w:left w:val="single" w:color="auto" w:sz="4" w:space="0"/>
              <w:bottom w:val="single" w:color="auto" w:sz="4" w:space="0"/>
              <w:right w:val="single" w:color="auto" w:sz="4" w:space="0"/>
            </w:tcBorders>
            <w:shd w:val="clear" w:color="auto" w:fill="auto"/>
          </w:tcPr>
          <w:p w14:paraId="1707A1C0">
            <w:pPr>
              <w:ind w:firstLine="400" w:firstLineChars="200"/>
              <w:jc w:val="left"/>
              <w:rPr>
                <w:rFonts w:cs="黑体" w:asciiTheme="minorEastAsia" w:hAnsiTheme="minorEastAsia" w:eastAsiaTheme="minorEastAsia"/>
                <w:sz w:val="20"/>
                <w:szCs w:val="18"/>
              </w:rPr>
            </w:pPr>
            <w:r>
              <w:rPr>
                <w:rFonts w:hint="eastAsia" w:asciiTheme="minorEastAsia" w:hAnsiTheme="minorEastAsia" w:eastAsiaTheme="minorEastAsia"/>
                <w:b/>
                <w:sz w:val="20"/>
                <w:szCs w:val="18"/>
              </w:rPr>
              <w:t>LO11：专业伦理</w:t>
            </w:r>
          </w:p>
        </w:tc>
      </w:tr>
      <w:tr w14:paraId="4ACADD39">
        <w:tc>
          <w:tcPr>
            <w:tcW w:w="7257" w:type="dxa"/>
            <w:tcBorders>
              <w:top w:val="single" w:color="auto" w:sz="4" w:space="0"/>
              <w:left w:val="single" w:color="auto" w:sz="4" w:space="0"/>
              <w:bottom w:val="single" w:color="auto" w:sz="4" w:space="0"/>
              <w:right w:val="single" w:color="auto" w:sz="4" w:space="0"/>
            </w:tcBorders>
            <w:vAlign w:val="center"/>
          </w:tcPr>
          <w:p w14:paraId="02F6078D">
            <w:pPr>
              <w:tabs>
                <w:tab w:val="left" w:pos="4200"/>
              </w:tabs>
              <w:adjustRightInd w:val="0"/>
              <w:snapToGrid w:val="0"/>
              <w:spacing w:line="264" w:lineRule="auto"/>
              <w:ind w:firstLine="400" w:firstLineChars="200"/>
              <w:jc w:val="left"/>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LO111:</w:t>
            </w:r>
            <w:r>
              <w:rPr>
                <w:rFonts w:hint="eastAsia" w:asciiTheme="minorEastAsia" w:hAnsiTheme="minorEastAsia" w:eastAsiaTheme="minorEastAsia"/>
                <w:bCs/>
                <w:sz w:val="20"/>
                <w:szCs w:val="18"/>
              </w:rPr>
              <w:t>认同社会主义核心价值观</w:t>
            </w:r>
          </w:p>
        </w:tc>
        <w:tc>
          <w:tcPr>
            <w:tcW w:w="1242" w:type="dxa"/>
            <w:tcBorders>
              <w:top w:val="single" w:color="auto" w:sz="4" w:space="0"/>
              <w:left w:val="single" w:color="auto" w:sz="4" w:space="0"/>
              <w:bottom w:val="single" w:color="auto" w:sz="4" w:space="0"/>
              <w:right w:val="single" w:color="auto" w:sz="4" w:space="0"/>
            </w:tcBorders>
            <w:vAlign w:val="center"/>
          </w:tcPr>
          <w:p w14:paraId="35A4E416">
            <w:pPr>
              <w:widowControl/>
              <w:ind w:firstLine="480"/>
              <w:jc w:val="center"/>
              <w:rPr>
                <w:rFonts w:ascii="仿宋" w:hAnsi="仿宋" w:eastAsia="仿宋" w:cs="宋体"/>
                <w:color w:val="000000"/>
                <w:sz w:val="24"/>
              </w:rPr>
            </w:pPr>
          </w:p>
        </w:tc>
      </w:tr>
      <w:tr w14:paraId="67FC268E">
        <w:tc>
          <w:tcPr>
            <w:tcW w:w="7257" w:type="dxa"/>
            <w:tcBorders>
              <w:top w:val="single" w:color="auto" w:sz="4" w:space="0"/>
              <w:left w:val="single" w:color="auto" w:sz="4" w:space="0"/>
              <w:bottom w:val="single" w:color="auto" w:sz="4" w:space="0"/>
              <w:right w:val="single" w:color="auto" w:sz="4" w:space="0"/>
            </w:tcBorders>
            <w:vAlign w:val="center"/>
          </w:tcPr>
          <w:p w14:paraId="07178CF2">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LO112:</w:t>
            </w:r>
            <w:r>
              <w:rPr>
                <w:rFonts w:hint="eastAsia" w:asciiTheme="minorEastAsia" w:hAnsiTheme="minorEastAsia" w:eastAsiaTheme="minorEastAsia"/>
                <w:bCs/>
                <w:sz w:val="20"/>
                <w:szCs w:val="18"/>
              </w:rPr>
              <w:t>理解与践行学前教育核心价值</w:t>
            </w:r>
          </w:p>
        </w:tc>
        <w:tc>
          <w:tcPr>
            <w:tcW w:w="1242" w:type="dxa"/>
            <w:tcBorders>
              <w:top w:val="single" w:color="auto" w:sz="4" w:space="0"/>
              <w:left w:val="single" w:color="auto" w:sz="4" w:space="0"/>
              <w:bottom w:val="single" w:color="auto" w:sz="4" w:space="0"/>
              <w:right w:val="single" w:color="auto" w:sz="4" w:space="0"/>
            </w:tcBorders>
            <w:vAlign w:val="center"/>
          </w:tcPr>
          <w:p w14:paraId="25B66386">
            <w:pPr>
              <w:widowControl/>
              <w:ind w:firstLine="480"/>
              <w:rPr>
                <w:rFonts w:ascii="仿宋" w:hAnsi="仿宋" w:eastAsia="仿宋" w:cs="宋体"/>
                <w:color w:val="000000"/>
                <w:sz w:val="24"/>
              </w:rPr>
            </w:pPr>
            <w:r>
              <w:rPr>
                <w:rFonts w:ascii="仿宋" w:hAnsi="仿宋" w:eastAsia="仿宋" w:cs="宋体"/>
                <w:color w:val="000000"/>
                <w:sz w:val="24"/>
              </w:rPr>
              <w:t xml:space="preserve">  </w:t>
            </w:r>
          </w:p>
        </w:tc>
      </w:tr>
      <w:tr w14:paraId="129E140C">
        <w:trPr>
          <w:trHeight w:val="260" w:hRule="atLeast"/>
        </w:trPr>
        <w:tc>
          <w:tcPr>
            <w:tcW w:w="7257" w:type="dxa"/>
            <w:tcBorders>
              <w:top w:val="single" w:color="auto" w:sz="4" w:space="0"/>
              <w:left w:val="single" w:color="auto" w:sz="4" w:space="0"/>
              <w:bottom w:val="single" w:color="auto" w:sz="4" w:space="0"/>
              <w:right w:val="single" w:color="auto" w:sz="4" w:space="0"/>
            </w:tcBorders>
            <w:vAlign w:val="center"/>
          </w:tcPr>
          <w:p w14:paraId="598204D8">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LO113:</w:t>
            </w:r>
            <w:r>
              <w:rPr>
                <w:rFonts w:hint="eastAsia" w:asciiTheme="minorEastAsia" w:hAnsiTheme="minorEastAsia" w:eastAsiaTheme="minorEastAsia"/>
                <w:bCs/>
                <w:sz w:val="20"/>
                <w:szCs w:val="18"/>
              </w:rPr>
              <w:t>明确与践行幼儿园教师保教行为规范</w:t>
            </w:r>
          </w:p>
        </w:tc>
        <w:tc>
          <w:tcPr>
            <w:tcW w:w="1242" w:type="dxa"/>
            <w:tcBorders>
              <w:top w:val="single" w:color="auto" w:sz="4" w:space="0"/>
              <w:left w:val="single" w:color="auto" w:sz="4" w:space="0"/>
              <w:bottom w:val="single" w:color="auto" w:sz="4" w:space="0"/>
              <w:right w:val="single" w:color="auto" w:sz="4" w:space="0"/>
            </w:tcBorders>
            <w:vAlign w:val="center"/>
          </w:tcPr>
          <w:p w14:paraId="46E46DE9">
            <w:pPr>
              <w:widowControl/>
              <w:ind w:firstLine="480"/>
              <w:jc w:val="center"/>
              <w:rPr>
                <w:rFonts w:ascii="仿宋" w:hAnsi="仿宋" w:eastAsia="仿宋" w:cs="宋体"/>
                <w:color w:val="000000"/>
                <w:sz w:val="24"/>
              </w:rPr>
            </w:pPr>
          </w:p>
        </w:tc>
      </w:tr>
      <w:tr w14:paraId="2A67EBBB">
        <w:trPr>
          <w:trHeight w:val="260" w:hRule="atLeast"/>
        </w:trPr>
        <w:tc>
          <w:tcPr>
            <w:tcW w:w="8499" w:type="dxa"/>
            <w:gridSpan w:val="2"/>
            <w:tcBorders>
              <w:top w:val="single" w:color="auto" w:sz="4" w:space="0"/>
              <w:left w:val="single" w:color="auto" w:sz="4" w:space="0"/>
              <w:bottom w:val="single" w:color="auto" w:sz="4" w:space="0"/>
              <w:right w:val="single" w:color="auto" w:sz="4" w:space="0"/>
            </w:tcBorders>
            <w:vAlign w:val="center"/>
          </w:tcPr>
          <w:p w14:paraId="716922ED">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LO12：教育情怀</w:t>
            </w:r>
          </w:p>
        </w:tc>
      </w:tr>
      <w:tr w14:paraId="0C997B9A">
        <w:tc>
          <w:tcPr>
            <w:tcW w:w="7257" w:type="dxa"/>
            <w:tcBorders>
              <w:top w:val="single" w:color="auto" w:sz="4" w:space="0"/>
              <w:left w:val="single" w:color="auto" w:sz="4" w:space="0"/>
              <w:bottom w:val="single" w:color="auto" w:sz="4" w:space="0"/>
              <w:right w:val="single" w:color="auto" w:sz="4" w:space="0"/>
            </w:tcBorders>
            <w:vAlign w:val="center"/>
          </w:tcPr>
          <w:p w14:paraId="55D57765">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LO121:</w:t>
            </w:r>
            <w:r>
              <w:rPr>
                <w:rFonts w:hint="eastAsia" w:asciiTheme="minorEastAsia" w:hAnsiTheme="minorEastAsia" w:eastAsiaTheme="minorEastAsia"/>
                <w:bCs/>
                <w:sz w:val="20"/>
                <w:szCs w:val="18"/>
              </w:rPr>
              <w:t>增强专业认同感和使命感</w:t>
            </w:r>
          </w:p>
        </w:tc>
        <w:tc>
          <w:tcPr>
            <w:tcW w:w="1242" w:type="dxa"/>
            <w:tcBorders>
              <w:top w:val="single" w:color="auto" w:sz="4" w:space="0"/>
              <w:left w:val="single" w:color="auto" w:sz="4" w:space="0"/>
              <w:bottom w:val="single" w:color="auto" w:sz="4" w:space="0"/>
              <w:right w:val="single" w:color="auto" w:sz="4" w:space="0"/>
            </w:tcBorders>
            <w:vAlign w:val="center"/>
          </w:tcPr>
          <w:p w14:paraId="4C08FB43">
            <w:pPr>
              <w:widowControl/>
              <w:ind w:firstLine="480" w:firstLineChars="200"/>
              <w:rPr>
                <w:rFonts w:ascii="仿宋" w:hAnsi="仿宋" w:eastAsia="仿宋" w:cs="宋体"/>
                <w:color w:val="000000"/>
                <w:sz w:val="24"/>
              </w:rPr>
            </w:pPr>
            <w:r>
              <w:rPr>
                <w:rFonts w:ascii="仿宋" w:hAnsi="仿宋" w:eastAsia="仿宋" w:cs="宋体"/>
                <w:color w:val="000000"/>
                <w:sz w:val="24"/>
              </w:rPr>
              <w:t xml:space="preserve">  </w:t>
            </w:r>
          </w:p>
        </w:tc>
      </w:tr>
      <w:tr w14:paraId="26DDA42E">
        <w:tc>
          <w:tcPr>
            <w:tcW w:w="7257" w:type="dxa"/>
            <w:tcBorders>
              <w:top w:val="single" w:color="auto" w:sz="4" w:space="0"/>
              <w:left w:val="single" w:color="auto" w:sz="4" w:space="0"/>
              <w:bottom w:val="single" w:color="auto" w:sz="4" w:space="0"/>
              <w:right w:val="single" w:color="auto" w:sz="4" w:space="0"/>
            </w:tcBorders>
            <w:vAlign w:val="center"/>
          </w:tcPr>
          <w:p w14:paraId="5B9F0B6C">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LO122:</w:t>
            </w:r>
            <w:r>
              <w:rPr>
                <w:rFonts w:hint="eastAsia" w:asciiTheme="minorEastAsia" w:hAnsiTheme="minorEastAsia" w:eastAsiaTheme="minorEastAsia"/>
                <w:bCs/>
                <w:sz w:val="20"/>
                <w:szCs w:val="18"/>
              </w:rPr>
              <w:t>具有人文底蕴、生命关怀和科学精神</w:t>
            </w:r>
          </w:p>
        </w:tc>
        <w:tc>
          <w:tcPr>
            <w:tcW w:w="1242" w:type="dxa"/>
            <w:tcBorders>
              <w:top w:val="single" w:color="auto" w:sz="4" w:space="0"/>
              <w:left w:val="single" w:color="auto" w:sz="4" w:space="0"/>
              <w:bottom w:val="single" w:color="auto" w:sz="4" w:space="0"/>
              <w:right w:val="single" w:color="auto" w:sz="4" w:space="0"/>
            </w:tcBorders>
            <w:vAlign w:val="center"/>
          </w:tcPr>
          <w:p w14:paraId="10F30731">
            <w:pPr>
              <w:widowControl/>
              <w:ind w:firstLine="480" w:firstLineChars="200"/>
              <w:rPr>
                <w:rFonts w:ascii="仿宋" w:hAnsi="仿宋" w:eastAsia="仿宋" w:cs="宋体"/>
                <w:color w:val="000000"/>
                <w:sz w:val="24"/>
              </w:rPr>
            </w:pPr>
          </w:p>
        </w:tc>
      </w:tr>
      <w:tr w14:paraId="4A1CD91A">
        <w:tc>
          <w:tcPr>
            <w:tcW w:w="7257" w:type="dxa"/>
            <w:tcBorders>
              <w:top w:val="single" w:color="auto" w:sz="4" w:space="0"/>
              <w:left w:val="single" w:color="auto" w:sz="4" w:space="0"/>
              <w:bottom w:val="single" w:color="auto" w:sz="4" w:space="0"/>
              <w:right w:val="single" w:color="auto" w:sz="4" w:space="0"/>
            </w:tcBorders>
            <w:vAlign w:val="center"/>
          </w:tcPr>
          <w:p w14:paraId="59E7F303">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LO123:</w:t>
            </w:r>
            <w:r>
              <w:rPr>
                <w:rFonts w:hint="eastAsia" w:asciiTheme="minorEastAsia" w:hAnsiTheme="minorEastAsia" w:eastAsiaTheme="minorEastAsia"/>
                <w:bCs/>
                <w:sz w:val="20"/>
                <w:szCs w:val="18"/>
              </w:rPr>
              <w:t>践行幼儿为本和爱与自由理念</w:t>
            </w:r>
          </w:p>
        </w:tc>
        <w:tc>
          <w:tcPr>
            <w:tcW w:w="1242" w:type="dxa"/>
            <w:tcBorders>
              <w:top w:val="single" w:color="auto" w:sz="4" w:space="0"/>
              <w:left w:val="single" w:color="auto" w:sz="4" w:space="0"/>
              <w:bottom w:val="single" w:color="auto" w:sz="4" w:space="0"/>
              <w:right w:val="single" w:color="auto" w:sz="4" w:space="0"/>
            </w:tcBorders>
            <w:vAlign w:val="center"/>
          </w:tcPr>
          <w:p w14:paraId="68A6EDFB">
            <w:pPr>
              <w:widowControl/>
              <w:ind w:firstLine="400"/>
              <w:jc w:val="center"/>
              <w:rPr>
                <w:rFonts w:ascii="仿宋" w:hAnsi="仿宋" w:eastAsia="仿宋" w:cs="宋体"/>
                <w:color w:val="000000"/>
                <w:sz w:val="24"/>
              </w:rPr>
            </w:pPr>
          </w:p>
        </w:tc>
      </w:tr>
      <w:tr w14:paraId="16B0B7D4">
        <w:tc>
          <w:tcPr>
            <w:tcW w:w="8499" w:type="dxa"/>
            <w:gridSpan w:val="2"/>
            <w:tcBorders>
              <w:top w:val="single" w:color="auto" w:sz="4" w:space="0"/>
              <w:left w:val="single" w:color="auto" w:sz="4" w:space="0"/>
              <w:bottom w:val="single" w:color="auto" w:sz="4" w:space="0"/>
              <w:right w:val="single" w:color="auto" w:sz="4" w:space="0"/>
            </w:tcBorders>
            <w:vAlign w:val="center"/>
          </w:tcPr>
          <w:p w14:paraId="74AC06C3">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LO21：儿童研究</w:t>
            </w:r>
          </w:p>
        </w:tc>
      </w:tr>
      <w:tr w14:paraId="2E915F16">
        <w:tc>
          <w:tcPr>
            <w:tcW w:w="7257" w:type="dxa"/>
            <w:tcBorders>
              <w:top w:val="single" w:color="auto" w:sz="4" w:space="0"/>
              <w:left w:val="single" w:color="auto" w:sz="4" w:space="0"/>
              <w:bottom w:val="single" w:color="auto" w:sz="4" w:space="0"/>
              <w:right w:val="single" w:color="auto" w:sz="4" w:space="0"/>
            </w:tcBorders>
            <w:vAlign w:val="center"/>
          </w:tcPr>
          <w:p w14:paraId="1C920F94">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LO211:</w:t>
            </w:r>
            <w:r>
              <w:rPr>
                <w:rFonts w:hint="eastAsia" w:asciiTheme="minorEastAsia" w:hAnsiTheme="minorEastAsia" w:eastAsiaTheme="minorEastAsia"/>
                <w:bCs/>
                <w:sz w:val="20"/>
                <w:szCs w:val="18"/>
              </w:rPr>
              <w:t>掌握儿童发展、儿童研究的基本理论</w:t>
            </w:r>
          </w:p>
        </w:tc>
        <w:tc>
          <w:tcPr>
            <w:tcW w:w="1242" w:type="dxa"/>
            <w:tcBorders>
              <w:top w:val="single" w:color="auto" w:sz="4" w:space="0"/>
              <w:left w:val="single" w:color="auto" w:sz="4" w:space="0"/>
              <w:bottom w:val="single" w:color="auto" w:sz="4" w:space="0"/>
              <w:right w:val="single" w:color="auto" w:sz="4" w:space="0"/>
            </w:tcBorders>
            <w:vAlign w:val="center"/>
          </w:tcPr>
          <w:p w14:paraId="24E65B26">
            <w:pPr>
              <w:widowControl/>
              <w:ind w:firstLine="480"/>
              <w:jc w:val="center"/>
              <w:rPr>
                <w:rFonts w:ascii="仿宋" w:hAnsi="仿宋" w:eastAsia="仿宋" w:cs="宋体"/>
                <w:color w:val="000000"/>
                <w:sz w:val="24"/>
              </w:rPr>
            </w:pPr>
          </w:p>
        </w:tc>
      </w:tr>
      <w:tr w14:paraId="4C8CF91A">
        <w:tc>
          <w:tcPr>
            <w:tcW w:w="7257" w:type="dxa"/>
            <w:tcBorders>
              <w:top w:val="single" w:color="auto" w:sz="4" w:space="0"/>
              <w:left w:val="single" w:color="auto" w:sz="4" w:space="0"/>
              <w:bottom w:val="single" w:color="auto" w:sz="4" w:space="0"/>
              <w:right w:val="single" w:color="auto" w:sz="4" w:space="0"/>
            </w:tcBorders>
            <w:vAlign w:val="center"/>
          </w:tcPr>
          <w:p w14:paraId="7D37F600">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LO212:</w:t>
            </w:r>
            <w:r>
              <w:rPr>
                <w:rFonts w:hint="eastAsia" w:asciiTheme="minorEastAsia" w:hAnsiTheme="minorEastAsia" w:eastAsiaTheme="minorEastAsia"/>
                <w:bCs/>
                <w:sz w:val="20"/>
                <w:szCs w:val="18"/>
              </w:rPr>
              <w:t>具备现场观察、记录、分析幼儿的意识和能力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4A235650">
            <w:pPr>
              <w:widowControl/>
              <w:ind w:firstLine="480"/>
              <w:jc w:val="center"/>
              <w:rPr>
                <w:rFonts w:ascii="仿宋" w:hAnsi="仿宋" w:eastAsia="仿宋" w:cs="宋体"/>
                <w:color w:val="000000"/>
                <w:sz w:val="24"/>
              </w:rPr>
            </w:pPr>
          </w:p>
        </w:tc>
      </w:tr>
      <w:tr w14:paraId="31BB944E">
        <w:tc>
          <w:tcPr>
            <w:tcW w:w="7257" w:type="dxa"/>
            <w:tcBorders>
              <w:top w:val="single" w:color="auto" w:sz="4" w:space="0"/>
              <w:left w:val="single" w:color="auto" w:sz="4" w:space="0"/>
              <w:bottom w:val="single" w:color="auto" w:sz="4" w:space="0"/>
              <w:right w:val="single" w:color="auto" w:sz="4" w:space="0"/>
            </w:tcBorders>
            <w:vAlign w:val="center"/>
          </w:tcPr>
          <w:p w14:paraId="13A31BEA">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LO213:</w:t>
            </w:r>
            <w:r>
              <w:rPr>
                <w:rFonts w:hint="eastAsia" w:asciiTheme="minorEastAsia" w:hAnsiTheme="minorEastAsia" w:eastAsiaTheme="minorEastAsia"/>
                <w:bCs/>
                <w:sz w:val="20"/>
                <w:szCs w:val="18"/>
              </w:rPr>
              <w:t>具备评价幼儿园教育活动的能力</w:t>
            </w:r>
          </w:p>
        </w:tc>
        <w:tc>
          <w:tcPr>
            <w:tcW w:w="1242" w:type="dxa"/>
            <w:tcBorders>
              <w:top w:val="single" w:color="auto" w:sz="4" w:space="0"/>
              <w:left w:val="single" w:color="auto" w:sz="4" w:space="0"/>
              <w:bottom w:val="single" w:color="auto" w:sz="4" w:space="0"/>
              <w:right w:val="single" w:color="auto" w:sz="4" w:space="0"/>
            </w:tcBorders>
            <w:vAlign w:val="center"/>
          </w:tcPr>
          <w:p w14:paraId="60DA1074">
            <w:pPr>
              <w:widowControl/>
              <w:ind w:firstLine="480"/>
              <w:jc w:val="center"/>
              <w:rPr>
                <w:rFonts w:ascii="仿宋" w:hAnsi="仿宋" w:eastAsia="仿宋" w:cs="宋体"/>
                <w:color w:val="000000"/>
                <w:sz w:val="24"/>
              </w:rPr>
            </w:pPr>
          </w:p>
        </w:tc>
      </w:tr>
      <w:tr w14:paraId="0985CD9C">
        <w:tc>
          <w:tcPr>
            <w:tcW w:w="8499" w:type="dxa"/>
            <w:gridSpan w:val="2"/>
            <w:tcBorders>
              <w:top w:val="single" w:color="auto" w:sz="4" w:space="0"/>
              <w:left w:val="single" w:color="auto" w:sz="4" w:space="0"/>
              <w:bottom w:val="single" w:color="auto" w:sz="4" w:space="0"/>
              <w:right w:val="single" w:color="auto" w:sz="4" w:space="0"/>
            </w:tcBorders>
            <w:vAlign w:val="center"/>
          </w:tcPr>
          <w:p w14:paraId="7285218F">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LO22：保教能力</w:t>
            </w:r>
          </w:p>
        </w:tc>
      </w:tr>
      <w:tr w14:paraId="10B38B69">
        <w:tc>
          <w:tcPr>
            <w:tcW w:w="7257" w:type="dxa"/>
            <w:tcBorders>
              <w:top w:val="single" w:color="auto" w:sz="4" w:space="0"/>
              <w:left w:val="single" w:color="auto" w:sz="4" w:space="0"/>
              <w:bottom w:val="single" w:color="auto" w:sz="4" w:space="0"/>
              <w:right w:val="single" w:color="auto" w:sz="4" w:space="0"/>
            </w:tcBorders>
            <w:vAlign w:val="center"/>
          </w:tcPr>
          <w:p w14:paraId="3D186454">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LO221:</w:t>
            </w:r>
            <w:r>
              <w:rPr>
                <w:rFonts w:hint="eastAsia" w:asciiTheme="minorEastAsia" w:hAnsiTheme="minorEastAsia" w:eastAsiaTheme="minorEastAsia"/>
                <w:bCs/>
                <w:sz w:val="20"/>
                <w:szCs w:val="18"/>
              </w:rPr>
              <w:t>把握幼儿生理、心理特点</w:t>
            </w:r>
          </w:p>
        </w:tc>
        <w:tc>
          <w:tcPr>
            <w:tcW w:w="1242" w:type="dxa"/>
            <w:tcBorders>
              <w:top w:val="single" w:color="auto" w:sz="4" w:space="0"/>
              <w:left w:val="single" w:color="auto" w:sz="4" w:space="0"/>
              <w:bottom w:val="single" w:color="auto" w:sz="4" w:space="0"/>
              <w:right w:val="single" w:color="auto" w:sz="4" w:space="0"/>
            </w:tcBorders>
            <w:vAlign w:val="center"/>
          </w:tcPr>
          <w:p w14:paraId="35DB330C">
            <w:pPr>
              <w:widowControl/>
              <w:ind w:firstLine="400"/>
              <w:jc w:val="center"/>
              <w:rPr>
                <w:rFonts w:ascii="Times New Roman" w:hAnsi="Times New Roman"/>
                <w:color w:val="000000"/>
              </w:rPr>
            </w:pPr>
          </w:p>
        </w:tc>
      </w:tr>
      <w:tr w14:paraId="7ED231B6">
        <w:tc>
          <w:tcPr>
            <w:tcW w:w="7257" w:type="dxa"/>
            <w:tcBorders>
              <w:top w:val="single" w:color="auto" w:sz="4" w:space="0"/>
              <w:left w:val="single" w:color="auto" w:sz="4" w:space="0"/>
              <w:bottom w:val="single" w:color="auto" w:sz="4" w:space="0"/>
              <w:right w:val="single" w:color="auto" w:sz="4" w:space="0"/>
            </w:tcBorders>
            <w:vAlign w:val="center"/>
          </w:tcPr>
          <w:p w14:paraId="29F03F4A">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LO222:</w:t>
            </w:r>
            <w:r>
              <w:rPr>
                <w:rFonts w:hint="eastAsia" w:asciiTheme="minorEastAsia" w:hAnsiTheme="minorEastAsia" w:eastAsiaTheme="minorEastAsia"/>
                <w:bCs/>
                <w:sz w:val="20"/>
                <w:szCs w:val="18"/>
              </w:rPr>
              <w:t>掌握幼儿园保育和教育的基本知识和方法</w:t>
            </w:r>
          </w:p>
        </w:tc>
        <w:tc>
          <w:tcPr>
            <w:tcW w:w="1242" w:type="dxa"/>
            <w:tcBorders>
              <w:top w:val="single" w:color="auto" w:sz="4" w:space="0"/>
              <w:left w:val="single" w:color="auto" w:sz="4" w:space="0"/>
              <w:bottom w:val="single" w:color="auto" w:sz="4" w:space="0"/>
              <w:right w:val="single" w:color="auto" w:sz="4" w:space="0"/>
            </w:tcBorders>
            <w:vAlign w:val="center"/>
          </w:tcPr>
          <w:p w14:paraId="68B6FCC2">
            <w:pPr>
              <w:widowControl/>
              <w:ind w:firstLine="400"/>
              <w:jc w:val="center"/>
              <w:rPr>
                <w:rFonts w:ascii="Times New Roman" w:hAnsi="Times New Roman"/>
                <w:color w:val="000000"/>
              </w:rPr>
            </w:pPr>
            <w:r>
              <w:rPr>
                <w:rFonts w:ascii="仿宋" w:hAnsi="仿宋" w:eastAsia="仿宋" w:cs="宋体"/>
                <w:color w:val="000000"/>
                <w:sz w:val="24"/>
              </w:rPr>
              <w:sym w:font="Wingdings 2" w:char="F098"/>
            </w:r>
          </w:p>
        </w:tc>
      </w:tr>
      <w:tr w14:paraId="2A1EA7B6">
        <w:tc>
          <w:tcPr>
            <w:tcW w:w="7257" w:type="dxa"/>
            <w:tcBorders>
              <w:top w:val="single" w:color="auto" w:sz="4" w:space="0"/>
              <w:left w:val="single" w:color="auto" w:sz="4" w:space="0"/>
              <w:bottom w:val="single" w:color="auto" w:sz="4" w:space="0"/>
              <w:right w:val="single" w:color="auto" w:sz="4" w:space="0"/>
            </w:tcBorders>
            <w:vAlign w:val="center"/>
          </w:tcPr>
          <w:p w14:paraId="5134A9CA">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LO223:</w:t>
            </w:r>
            <w:r>
              <w:rPr>
                <w:rFonts w:hint="eastAsia" w:asciiTheme="minorEastAsia" w:hAnsiTheme="minorEastAsia" w:eastAsiaTheme="minorEastAsia"/>
                <w:bCs/>
                <w:sz w:val="20"/>
                <w:szCs w:val="18"/>
              </w:rPr>
              <w:t>熟悉五大领域知识并能合理运用于综合活动中</w:t>
            </w:r>
          </w:p>
        </w:tc>
        <w:tc>
          <w:tcPr>
            <w:tcW w:w="1242" w:type="dxa"/>
            <w:tcBorders>
              <w:top w:val="single" w:color="auto" w:sz="4" w:space="0"/>
              <w:left w:val="single" w:color="auto" w:sz="4" w:space="0"/>
              <w:bottom w:val="single" w:color="auto" w:sz="4" w:space="0"/>
              <w:right w:val="single" w:color="auto" w:sz="4" w:space="0"/>
            </w:tcBorders>
            <w:vAlign w:val="center"/>
          </w:tcPr>
          <w:p w14:paraId="27C2E55A">
            <w:pPr>
              <w:widowControl/>
              <w:ind w:firstLine="400"/>
              <w:jc w:val="center"/>
              <w:rPr>
                <w:rFonts w:ascii="Times New Roman" w:hAnsi="Times New Roman"/>
                <w:color w:val="000000"/>
              </w:rPr>
            </w:pPr>
          </w:p>
        </w:tc>
      </w:tr>
      <w:tr w14:paraId="2C27F23B">
        <w:tc>
          <w:tcPr>
            <w:tcW w:w="8499" w:type="dxa"/>
            <w:gridSpan w:val="2"/>
            <w:tcBorders>
              <w:top w:val="single" w:color="auto" w:sz="4" w:space="0"/>
              <w:left w:val="single" w:color="auto" w:sz="4" w:space="0"/>
              <w:bottom w:val="single" w:color="auto" w:sz="4" w:space="0"/>
              <w:right w:val="single" w:color="auto" w:sz="4" w:space="0"/>
            </w:tcBorders>
            <w:vAlign w:val="center"/>
          </w:tcPr>
          <w:p w14:paraId="5E4C3BF1">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LO23：环境创设</w:t>
            </w:r>
          </w:p>
        </w:tc>
      </w:tr>
      <w:tr w14:paraId="64C6E91D">
        <w:tc>
          <w:tcPr>
            <w:tcW w:w="7257" w:type="dxa"/>
            <w:tcBorders>
              <w:top w:val="single" w:color="auto" w:sz="4" w:space="0"/>
              <w:left w:val="single" w:color="auto" w:sz="4" w:space="0"/>
              <w:bottom w:val="single" w:color="auto" w:sz="4" w:space="0"/>
              <w:right w:val="single" w:color="auto" w:sz="4" w:space="0"/>
            </w:tcBorders>
            <w:vAlign w:val="center"/>
          </w:tcPr>
          <w:p w14:paraId="7B26A6E9">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LO231:</w:t>
            </w:r>
            <w:r>
              <w:rPr>
                <w:rFonts w:hint="eastAsia" w:asciiTheme="minorEastAsia" w:hAnsiTheme="minorEastAsia" w:eastAsiaTheme="minorEastAsia"/>
                <w:bCs/>
                <w:sz w:val="20"/>
                <w:szCs w:val="18"/>
              </w:rPr>
              <w:t>充分认识大自然、大社会对幼儿发展的价值</w:t>
            </w:r>
          </w:p>
        </w:tc>
        <w:tc>
          <w:tcPr>
            <w:tcW w:w="1242" w:type="dxa"/>
            <w:tcBorders>
              <w:top w:val="single" w:color="auto" w:sz="4" w:space="0"/>
              <w:left w:val="single" w:color="auto" w:sz="4" w:space="0"/>
              <w:bottom w:val="single" w:color="auto" w:sz="4" w:space="0"/>
              <w:right w:val="single" w:color="auto" w:sz="4" w:space="0"/>
            </w:tcBorders>
            <w:vAlign w:val="center"/>
          </w:tcPr>
          <w:p w14:paraId="22B89758">
            <w:pPr>
              <w:widowControl/>
              <w:ind w:firstLine="400"/>
              <w:jc w:val="center"/>
              <w:rPr>
                <w:rFonts w:ascii="Times New Roman" w:hAnsi="Times New Roman"/>
                <w:color w:val="000000"/>
              </w:rPr>
            </w:pPr>
          </w:p>
        </w:tc>
      </w:tr>
      <w:tr w14:paraId="45E7ACBE">
        <w:tc>
          <w:tcPr>
            <w:tcW w:w="7257" w:type="dxa"/>
            <w:tcBorders>
              <w:top w:val="single" w:color="auto" w:sz="4" w:space="0"/>
              <w:left w:val="single" w:color="auto" w:sz="4" w:space="0"/>
              <w:bottom w:val="single" w:color="auto" w:sz="4" w:space="0"/>
              <w:right w:val="single" w:color="auto" w:sz="4" w:space="0"/>
            </w:tcBorders>
            <w:vAlign w:val="center"/>
          </w:tcPr>
          <w:p w14:paraId="54982D45">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LO232:</w:t>
            </w:r>
            <w:r>
              <w:rPr>
                <w:rFonts w:hint="eastAsia" w:asciiTheme="minorEastAsia" w:hAnsiTheme="minorEastAsia" w:eastAsiaTheme="minorEastAsia"/>
                <w:bCs/>
                <w:sz w:val="20"/>
                <w:szCs w:val="18"/>
              </w:rPr>
              <w:t>具备创设有准备的环境的知识和能力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7C723145">
            <w:pPr>
              <w:widowControl/>
              <w:ind w:firstLine="400"/>
              <w:jc w:val="center"/>
              <w:rPr>
                <w:rFonts w:ascii="Times New Roman" w:hAnsi="Times New Roman"/>
                <w:color w:val="000000"/>
              </w:rPr>
            </w:pPr>
            <w:r>
              <w:rPr>
                <w:rFonts w:ascii="仿宋" w:hAnsi="仿宋" w:eastAsia="仿宋" w:cs="宋体"/>
                <w:color w:val="000000"/>
                <w:sz w:val="24"/>
              </w:rPr>
              <w:sym w:font="Wingdings 2" w:char="F098"/>
            </w:r>
          </w:p>
        </w:tc>
      </w:tr>
      <w:tr w14:paraId="6036F163">
        <w:tc>
          <w:tcPr>
            <w:tcW w:w="7257" w:type="dxa"/>
            <w:tcBorders>
              <w:top w:val="single" w:color="auto" w:sz="4" w:space="0"/>
              <w:left w:val="single" w:color="auto" w:sz="4" w:space="0"/>
              <w:bottom w:val="single" w:color="auto" w:sz="4" w:space="0"/>
              <w:right w:val="single" w:color="auto" w:sz="4" w:space="0"/>
            </w:tcBorders>
            <w:vAlign w:val="center"/>
          </w:tcPr>
          <w:p w14:paraId="3C46D4D1">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LO233:</w:t>
            </w:r>
            <w:r>
              <w:rPr>
                <w:rFonts w:hint="eastAsia" w:asciiTheme="minorEastAsia" w:hAnsiTheme="minorEastAsia" w:eastAsiaTheme="minorEastAsia"/>
                <w:bCs/>
                <w:sz w:val="20"/>
                <w:szCs w:val="18"/>
              </w:rPr>
              <w:t>具备幼儿与环境互动质量的评价能力</w:t>
            </w:r>
          </w:p>
        </w:tc>
        <w:tc>
          <w:tcPr>
            <w:tcW w:w="1242" w:type="dxa"/>
            <w:tcBorders>
              <w:top w:val="single" w:color="auto" w:sz="4" w:space="0"/>
              <w:left w:val="single" w:color="auto" w:sz="4" w:space="0"/>
              <w:bottom w:val="single" w:color="auto" w:sz="4" w:space="0"/>
              <w:right w:val="single" w:color="auto" w:sz="4" w:space="0"/>
            </w:tcBorders>
            <w:vAlign w:val="center"/>
          </w:tcPr>
          <w:p w14:paraId="5EE28657">
            <w:pPr>
              <w:widowControl/>
              <w:ind w:firstLine="400"/>
              <w:jc w:val="center"/>
              <w:rPr>
                <w:rFonts w:ascii="Times New Roman" w:hAnsi="Times New Roman"/>
                <w:color w:val="000000"/>
              </w:rPr>
            </w:pPr>
          </w:p>
        </w:tc>
      </w:tr>
      <w:tr w14:paraId="19930074">
        <w:tc>
          <w:tcPr>
            <w:tcW w:w="8499" w:type="dxa"/>
            <w:gridSpan w:val="2"/>
            <w:tcBorders>
              <w:top w:val="single" w:color="auto" w:sz="4" w:space="0"/>
              <w:left w:val="single" w:color="auto" w:sz="4" w:space="0"/>
              <w:bottom w:val="single" w:color="auto" w:sz="4" w:space="0"/>
              <w:right w:val="single" w:color="auto" w:sz="4" w:space="0"/>
            </w:tcBorders>
            <w:vAlign w:val="center"/>
          </w:tcPr>
          <w:p w14:paraId="32EE8DEB">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LO31：班级管理</w:t>
            </w:r>
          </w:p>
        </w:tc>
      </w:tr>
      <w:tr w14:paraId="0FCC5823">
        <w:tc>
          <w:tcPr>
            <w:tcW w:w="7257" w:type="dxa"/>
            <w:tcBorders>
              <w:top w:val="single" w:color="auto" w:sz="4" w:space="0"/>
              <w:left w:val="single" w:color="auto" w:sz="4" w:space="0"/>
              <w:bottom w:val="single" w:color="auto" w:sz="4" w:space="0"/>
              <w:right w:val="single" w:color="auto" w:sz="4" w:space="0"/>
            </w:tcBorders>
            <w:vAlign w:val="center"/>
          </w:tcPr>
          <w:p w14:paraId="0F203E95">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LO311:</w:t>
            </w:r>
            <w:r>
              <w:rPr>
                <w:rFonts w:hint="eastAsia" w:asciiTheme="minorEastAsia" w:hAnsiTheme="minorEastAsia" w:eastAsiaTheme="minorEastAsia"/>
                <w:bCs/>
                <w:sz w:val="20"/>
                <w:szCs w:val="18"/>
              </w:rPr>
              <w:t>能引导幼儿建立班级的秩序与规则</w:t>
            </w:r>
          </w:p>
        </w:tc>
        <w:tc>
          <w:tcPr>
            <w:tcW w:w="1242" w:type="dxa"/>
            <w:tcBorders>
              <w:top w:val="single" w:color="auto" w:sz="4" w:space="0"/>
              <w:left w:val="single" w:color="auto" w:sz="4" w:space="0"/>
              <w:bottom w:val="single" w:color="auto" w:sz="4" w:space="0"/>
              <w:right w:val="single" w:color="auto" w:sz="4" w:space="0"/>
            </w:tcBorders>
            <w:vAlign w:val="center"/>
          </w:tcPr>
          <w:p w14:paraId="05BD7192">
            <w:pPr>
              <w:widowControl/>
              <w:ind w:firstLine="400"/>
              <w:jc w:val="center"/>
              <w:rPr>
                <w:rFonts w:ascii="Times New Roman" w:hAnsi="Times New Roman"/>
                <w:color w:val="000000"/>
              </w:rPr>
            </w:pPr>
          </w:p>
        </w:tc>
      </w:tr>
      <w:tr w14:paraId="0D6159BE">
        <w:tc>
          <w:tcPr>
            <w:tcW w:w="7257" w:type="dxa"/>
            <w:tcBorders>
              <w:top w:val="single" w:color="auto" w:sz="4" w:space="0"/>
              <w:left w:val="single" w:color="auto" w:sz="4" w:space="0"/>
              <w:bottom w:val="single" w:color="auto" w:sz="4" w:space="0"/>
              <w:right w:val="single" w:color="auto" w:sz="4" w:space="0"/>
            </w:tcBorders>
            <w:vAlign w:val="center"/>
          </w:tcPr>
          <w:p w14:paraId="0C5A9FF5">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LO312:</w:t>
            </w:r>
            <w:r>
              <w:rPr>
                <w:rFonts w:hint="eastAsia" w:asciiTheme="minorEastAsia" w:hAnsiTheme="minorEastAsia" w:eastAsiaTheme="minorEastAsia"/>
                <w:bCs/>
                <w:sz w:val="20"/>
                <w:szCs w:val="18"/>
              </w:rPr>
              <w:t>能营造愉悦、尊重、平等、积极的班级氛围</w:t>
            </w:r>
          </w:p>
        </w:tc>
        <w:tc>
          <w:tcPr>
            <w:tcW w:w="1242" w:type="dxa"/>
            <w:tcBorders>
              <w:top w:val="single" w:color="auto" w:sz="4" w:space="0"/>
              <w:left w:val="single" w:color="auto" w:sz="4" w:space="0"/>
              <w:bottom w:val="single" w:color="auto" w:sz="4" w:space="0"/>
              <w:right w:val="single" w:color="auto" w:sz="4" w:space="0"/>
            </w:tcBorders>
            <w:vAlign w:val="center"/>
          </w:tcPr>
          <w:p w14:paraId="6A137719">
            <w:pPr>
              <w:widowControl/>
              <w:ind w:firstLine="400"/>
              <w:jc w:val="center"/>
              <w:rPr>
                <w:rFonts w:ascii="Times New Roman" w:hAnsi="Times New Roman"/>
                <w:color w:val="000000"/>
              </w:rPr>
            </w:pPr>
          </w:p>
        </w:tc>
      </w:tr>
      <w:tr w14:paraId="16B8A445">
        <w:tc>
          <w:tcPr>
            <w:tcW w:w="7257" w:type="dxa"/>
            <w:tcBorders>
              <w:top w:val="single" w:color="auto" w:sz="4" w:space="0"/>
              <w:left w:val="single" w:color="auto" w:sz="4" w:space="0"/>
              <w:bottom w:val="single" w:color="auto" w:sz="4" w:space="0"/>
              <w:right w:val="single" w:color="auto" w:sz="4" w:space="0"/>
            </w:tcBorders>
            <w:vAlign w:val="center"/>
          </w:tcPr>
          <w:p w14:paraId="457F224B">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LO313:</w:t>
            </w:r>
            <w:r>
              <w:rPr>
                <w:rFonts w:hint="eastAsia" w:asciiTheme="minorEastAsia" w:hAnsiTheme="minorEastAsia" w:eastAsiaTheme="minorEastAsia"/>
                <w:bCs/>
                <w:sz w:val="20"/>
                <w:szCs w:val="18"/>
              </w:rPr>
              <w:t>有以班级为纽带调动家庭和社区资源的意识和能力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25142680">
            <w:pPr>
              <w:widowControl/>
              <w:ind w:firstLine="400"/>
              <w:jc w:val="center"/>
              <w:rPr>
                <w:rFonts w:ascii="Times New Roman" w:hAnsi="Times New Roman"/>
                <w:color w:val="000000"/>
              </w:rPr>
            </w:pPr>
          </w:p>
        </w:tc>
      </w:tr>
      <w:tr w14:paraId="7C5B5A24">
        <w:tc>
          <w:tcPr>
            <w:tcW w:w="8499" w:type="dxa"/>
            <w:gridSpan w:val="2"/>
            <w:tcBorders>
              <w:top w:val="single" w:color="auto" w:sz="4" w:space="0"/>
              <w:left w:val="single" w:color="auto" w:sz="4" w:space="0"/>
              <w:bottom w:val="single" w:color="auto" w:sz="4" w:space="0"/>
              <w:right w:val="single" w:color="auto" w:sz="4" w:space="0"/>
            </w:tcBorders>
            <w:vAlign w:val="center"/>
          </w:tcPr>
          <w:p w14:paraId="704A5887">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LO32：综合活动</w:t>
            </w:r>
          </w:p>
        </w:tc>
      </w:tr>
      <w:tr w14:paraId="20C79165">
        <w:tc>
          <w:tcPr>
            <w:tcW w:w="7257" w:type="dxa"/>
            <w:tcBorders>
              <w:top w:val="single" w:color="auto" w:sz="4" w:space="0"/>
              <w:left w:val="single" w:color="auto" w:sz="4" w:space="0"/>
              <w:bottom w:val="single" w:color="auto" w:sz="4" w:space="0"/>
              <w:right w:val="single" w:color="auto" w:sz="4" w:space="0"/>
            </w:tcBorders>
            <w:vAlign w:val="center"/>
          </w:tcPr>
          <w:p w14:paraId="5C2DDB0F">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LO321:</w:t>
            </w:r>
            <w:r>
              <w:rPr>
                <w:rFonts w:hint="eastAsia" w:asciiTheme="minorEastAsia" w:hAnsiTheme="minorEastAsia" w:eastAsiaTheme="minorEastAsia"/>
                <w:bCs/>
                <w:sz w:val="20"/>
                <w:szCs w:val="18"/>
              </w:rPr>
              <w:t>充分认识一日生活的课程价值</w:t>
            </w:r>
          </w:p>
        </w:tc>
        <w:tc>
          <w:tcPr>
            <w:tcW w:w="1242" w:type="dxa"/>
            <w:tcBorders>
              <w:top w:val="single" w:color="auto" w:sz="4" w:space="0"/>
              <w:left w:val="single" w:color="auto" w:sz="4" w:space="0"/>
              <w:bottom w:val="single" w:color="auto" w:sz="4" w:space="0"/>
              <w:right w:val="single" w:color="auto" w:sz="4" w:space="0"/>
            </w:tcBorders>
            <w:vAlign w:val="center"/>
          </w:tcPr>
          <w:p w14:paraId="3E3D147B">
            <w:pPr>
              <w:widowControl/>
              <w:ind w:firstLine="400"/>
              <w:jc w:val="center"/>
              <w:rPr>
                <w:rFonts w:ascii="Times New Roman" w:hAnsi="Times New Roman"/>
                <w:color w:val="000000"/>
              </w:rPr>
            </w:pPr>
          </w:p>
        </w:tc>
      </w:tr>
      <w:tr w14:paraId="421F3873">
        <w:tc>
          <w:tcPr>
            <w:tcW w:w="7257" w:type="dxa"/>
            <w:tcBorders>
              <w:top w:val="single" w:color="auto" w:sz="4" w:space="0"/>
              <w:left w:val="single" w:color="auto" w:sz="4" w:space="0"/>
              <w:bottom w:val="single" w:color="auto" w:sz="4" w:space="0"/>
              <w:right w:val="single" w:color="auto" w:sz="4" w:space="0"/>
            </w:tcBorders>
            <w:vAlign w:val="center"/>
          </w:tcPr>
          <w:p w14:paraId="073C9114">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LO322:</w:t>
            </w:r>
            <w:r>
              <w:rPr>
                <w:rFonts w:hint="eastAsia" w:asciiTheme="minorEastAsia" w:hAnsiTheme="minorEastAsia" w:eastAsiaTheme="minorEastAsia"/>
                <w:bCs/>
                <w:sz w:val="20"/>
                <w:szCs w:val="18"/>
              </w:rPr>
              <w:t>具备以游戏为幼儿园基本活动的意识和能力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1E640A0A">
            <w:pPr>
              <w:widowControl/>
              <w:ind w:firstLine="400"/>
              <w:jc w:val="center"/>
              <w:rPr>
                <w:rFonts w:ascii="Times New Roman" w:hAnsi="Times New Roman"/>
                <w:color w:val="000000"/>
              </w:rPr>
            </w:pPr>
          </w:p>
        </w:tc>
      </w:tr>
      <w:tr w14:paraId="311477E9">
        <w:tc>
          <w:tcPr>
            <w:tcW w:w="7257" w:type="dxa"/>
            <w:tcBorders>
              <w:top w:val="single" w:color="auto" w:sz="4" w:space="0"/>
              <w:left w:val="single" w:color="auto" w:sz="4" w:space="0"/>
              <w:bottom w:val="single" w:color="auto" w:sz="4" w:space="0"/>
              <w:right w:val="single" w:color="auto" w:sz="4" w:space="0"/>
            </w:tcBorders>
            <w:vAlign w:val="center"/>
          </w:tcPr>
          <w:p w14:paraId="041A638C">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LO323:</w:t>
            </w:r>
            <w:r>
              <w:rPr>
                <w:rFonts w:hint="eastAsia" w:asciiTheme="minorEastAsia" w:hAnsiTheme="minorEastAsia" w:eastAsiaTheme="minorEastAsia"/>
                <w:bCs/>
                <w:sz w:val="20"/>
                <w:szCs w:val="18"/>
              </w:rPr>
              <w:t>具有整合幼儿园、家庭与社区资源的能力</w:t>
            </w:r>
          </w:p>
        </w:tc>
        <w:tc>
          <w:tcPr>
            <w:tcW w:w="1242" w:type="dxa"/>
            <w:tcBorders>
              <w:top w:val="single" w:color="auto" w:sz="4" w:space="0"/>
              <w:left w:val="single" w:color="auto" w:sz="4" w:space="0"/>
              <w:bottom w:val="single" w:color="auto" w:sz="4" w:space="0"/>
              <w:right w:val="single" w:color="auto" w:sz="4" w:space="0"/>
            </w:tcBorders>
            <w:vAlign w:val="center"/>
          </w:tcPr>
          <w:p w14:paraId="07FBFB9A">
            <w:pPr>
              <w:widowControl/>
              <w:ind w:firstLine="400"/>
              <w:jc w:val="center"/>
              <w:rPr>
                <w:rFonts w:ascii="Times New Roman" w:hAnsi="Times New Roman"/>
                <w:color w:val="000000"/>
              </w:rPr>
            </w:pPr>
          </w:p>
        </w:tc>
      </w:tr>
      <w:tr w14:paraId="7F947C4A">
        <w:tc>
          <w:tcPr>
            <w:tcW w:w="8499" w:type="dxa"/>
            <w:gridSpan w:val="2"/>
            <w:tcBorders>
              <w:top w:val="single" w:color="auto" w:sz="4" w:space="0"/>
              <w:left w:val="single" w:color="auto" w:sz="4" w:space="0"/>
              <w:bottom w:val="single" w:color="auto" w:sz="4" w:space="0"/>
              <w:right w:val="single" w:color="auto" w:sz="4" w:space="0"/>
            </w:tcBorders>
            <w:vAlign w:val="center"/>
          </w:tcPr>
          <w:p w14:paraId="243F516D">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LO41：反思精神</w:t>
            </w:r>
          </w:p>
        </w:tc>
      </w:tr>
      <w:tr w14:paraId="36526284">
        <w:tc>
          <w:tcPr>
            <w:tcW w:w="7257" w:type="dxa"/>
            <w:tcBorders>
              <w:top w:val="single" w:color="auto" w:sz="4" w:space="0"/>
              <w:left w:val="single" w:color="auto" w:sz="4" w:space="0"/>
              <w:bottom w:val="single" w:color="auto" w:sz="4" w:space="0"/>
              <w:right w:val="single" w:color="auto" w:sz="4" w:space="0"/>
            </w:tcBorders>
            <w:vAlign w:val="center"/>
          </w:tcPr>
          <w:p w14:paraId="7107A376">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LO411:</w:t>
            </w:r>
            <w:r>
              <w:rPr>
                <w:rFonts w:hint="eastAsia" w:asciiTheme="minorEastAsia" w:hAnsiTheme="minorEastAsia" w:eastAsiaTheme="minorEastAsia"/>
                <w:bCs/>
                <w:sz w:val="20"/>
                <w:szCs w:val="18"/>
              </w:rPr>
              <w:t>养成主动学习、批判性思考的习惯和品格</w:t>
            </w:r>
          </w:p>
        </w:tc>
        <w:tc>
          <w:tcPr>
            <w:tcW w:w="1242" w:type="dxa"/>
            <w:tcBorders>
              <w:top w:val="single" w:color="auto" w:sz="4" w:space="0"/>
              <w:left w:val="single" w:color="auto" w:sz="4" w:space="0"/>
              <w:bottom w:val="single" w:color="auto" w:sz="4" w:space="0"/>
              <w:right w:val="single" w:color="auto" w:sz="4" w:space="0"/>
            </w:tcBorders>
            <w:vAlign w:val="center"/>
          </w:tcPr>
          <w:p w14:paraId="038E2BF9">
            <w:pPr>
              <w:widowControl/>
              <w:ind w:firstLine="400"/>
              <w:jc w:val="center"/>
              <w:rPr>
                <w:rFonts w:ascii="Times New Roman" w:hAnsi="Times New Roman"/>
                <w:color w:val="000000"/>
              </w:rPr>
            </w:pPr>
            <w:r>
              <w:rPr>
                <w:rFonts w:ascii="仿宋" w:hAnsi="仿宋" w:eastAsia="仿宋" w:cs="宋体"/>
                <w:color w:val="000000"/>
                <w:sz w:val="24"/>
              </w:rPr>
              <w:sym w:font="Wingdings 2" w:char="F098"/>
            </w:r>
          </w:p>
        </w:tc>
      </w:tr>
      <w:tr w14:paraId="2FEB264A">
        <w:tc>
          <w:tcPr>
            <w:tcW w:w="7257" w:type="dxa"/>
            <w:tcBorders>
              <w:top w:val="single" w:color="auto" w:sz="4" w:space="0"/>
              <w:left w:val="single" w:color="auto" w:sz="4" w:space="0"/>
              <w:bottom w:val="single" w:color="auto" w:sz="4" w:space="0"/>
              <w:right w:val="single" w:color="auto" w:sz="4" w:space="0"/>
            </w:tcBorders>
            <w:vAlign w:val="center"/>
          </w:tcPr>
          <w:p w14:paraId="2E2B210C">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LO412:</w:t>
            </w:r>
            <w:r>
              <w:rPr>
                <w:rFonts w:hint="eastAsia" w:asciiTheme="minorEastAsia" w:hAnsiTheme="minorEastAsia" w:eastAsiaTheme="minorEastAsia"/>
                <w:bCs/>
                <w:sz w:val="20"/>
                <w:szCs w:val="18"/>
              </w:rPr>
              <w:t>具有自我反思和引导幼儿反思的意识和能力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251175CA">
            <w:pPr>
              <w:widowControl/>
              <w:ind w:firstLine="400"/>
              <w:jc w:val="center"/>
              <w:rPr>
                <w:rFonts w:ascii="Times New Roman" w:hAnsi="Times New Roman"/>
                <w:color w:val="000000"/>
              </w:rPr>
            </w:pPr>
          </w:p>
        </w:tc>
      </w:tr>
      <w:tr w14:paraId="401F0B70">
        <w:tc>
          <w:tcPr>
            <w:tcW w:w="7257" w:type="dxa"/>
            <w:tcBorders>
              <w:top w:val="single" w:color="auto" w:sz="4" w:space="0"/>
              <w:left w:val="single" w:color="auto" w:sz="4" w:space="0"/>
              <w:bottom w:val="single" w:color="auto" w:sz="4" w:space="0"/>
              <w:right w:val="single" w:color="auto" w:sz="4" w:space="0"/>
            </w:tcBorders>
            <w:vAlign w:val="center"/>
          </w:tcPr>
          <w:p w14:paraId="1B9A6FBD">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LO413:</w:t>
            </w:r>
            <w:r>
              <w:rPr>
                <w:rFonts w:hint="eastAsia" w:asciiTheme="minorEastAsia" w:hAnsiTheme="minorEastAsia" w:eastAsiaTheme="minorEastAsia"/>
                <w:bCs/>
                <w:sz w:val="20"/>
                <w:szCs w:val="18"/>
              </w:rPr>
              <w:t>具有创造性解决问题的意识与能力</w:t>
            </w:r>
          </w:p>
        </w:tc>
        <w:tc>
          <w:tcPr>
            <w:tcW w:w="1242" w:type="dxa"/>
            <w:tcBorders>
              <w:top w:val="single" w:color="auto" w:sz="4" w:space="0"/>
              <w:left w:val="single" w:color="auto" w:sz="4" w:space="0"/>
              <w:bottom w:val="single" w:color="auto" w:sz="4" w:space="0"/>
              <w:right w:val="single" w:color="auto" w:sz="4" w:space="0"/>
            </w:tcBorders>
            <w:vAlign w:val="center"/>
          </w:tcPr>
          <w:p w14:paraId="075B88F6">
            <w:pPr>
              <w:widowControl/>
              <w:ind w:firstLine="400"/>
              <w:jc w:val="center"/>
              <w:rPr>
                <w:rFonts w:ascii="Times New Roman" w:hAnsi="Times New Roman"/>
                <w:color w:val="000000"/>
              </w:rPr>
            </w:pPr>
          </w:p>
        </w:tc>
      </w:tr>
      <w:tr w14:paraId="6CA03660">
        <w:tc>
          <w:tcPr>
            <w:tcW w:w="8499" w:type="dxa"/>
            <w:gridSpan w:val="2"/>
            <w:tcBorders>
              <w:top w:val="single" w:color="auto" w:sz="4" w:space="0"/>
              <w:left w:val="single" w:color="auto" w:sz="4" w:space="0"/>
              <w:bottom w:val="single" w:color="auto" w:sz="4" w:space="0"/>
              <w:right w:val="single" w:color="auto" w:sz="4" w:space="0"/>
            </w:tcBorders>
            <w:vAlign w:val="center"/>
          </w:tcPr>
          <w:p w14:paraId="7AA740DB">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LO42：国际视野</w:t>
            </w:r>
          </w:p>
        </w:tc>
      </w:tr>
      <w:tr w14:paraId="1CCD2549">
        <w:tc>
          <w:tcPr>
            <w:tcW w:w="7257" w:type="dxa"/>
            <w:tcBorders>
              <w:top w:val="single" w:color="auto" w:sz="4" w:space="0"/>
              <w:left w:val="single" w:color="auto" w:sz="4" w:space="0"/>
              <w:bottom w:val="single" w:color="auto" w:sz="4" w:space="0"/>
              <w:right w:val="single" w:color="auto" w:sz="4" w:space="0"/>
            </w:tcBorders>
            <w:vAlign w:val="center"/>
          </w:tcPr>
          <w:p w14:paraId="6F38E1C4">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LO421:</w:t>
            </w:r>
            <w:r>
              <w:rPr>
                <w:rFonts w:hint="eastAsia" w:asciiTheme="minorEastAsia" w:hAnsiTheme="minorEastAsia" w:eastAsiaTheme="minorEastAsia"/>
                <w:bCs/>
                <w:sz w:val="20"/>
                <w:szCs w:val="18"/>
              </w:rPr>
              <w:t>有参与国际教育交流的意识和能力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22BDB71A">
            <w:pPr>
              <w:widowControl/>
              <w:ind w:firstLine="400"/>
              <w:jc w:val="center"/>
              <w:rPr>
                <w:rFonts w:ascii="Times New Roman" w:hAnsi="Times New Roman"/>
                <w:color w:val="000000"/>
              </w:rPr>
            </w:pPr>
          </w:p>
        </w:tc>
      </w:tr>
      <w:tr w14:paraId="7ED5D843">
        <w:tc>
          <w:tcPr>
            <w:tcW w:w="7257" w:type="dxa"/>
            <w:tcBorders>
              <w:top w:val="single" w:color="auto" w:sz="4" w:space="0"/>
              <w:left w:val="single" w:color="auto" w:sz="4" w:space="0"/>
              <w:bottom w:val="single" w:color="auto" w:sz="4" w:space="0"/>
              <w:right w:val="single" w:color="auto" w:sz="4" w:space="0"/>
            </w:tcBorders>
            <w:vAlign w:val="center"/>
          </w:tcPr>
          <w:p w14:paraId="0A8408EE">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LO422:</w:t>
            </w:r>
            <w:r>
              <w:rPr>
                <w:rFonts w:hint="eastAsia" w:asciiTheme="minorEastAsia" w:hAnsiTheme="minorEastAsia" w:eastAsiaTheme="minorEastAsia"/>
                <w:bCs/>
                <w:sz w:val="20"/>
                <w:szCs w:val="18"/>
              </w:rPr>
              <w:t>把握学前教育改革发展趋势和前沿动态</w:t>
            </w:r>
          </w:p>
        </w:tc>
        <w:tc>
          <w:tcPr>
            <w:tcW w:w="1242" w:type="dxa"/>
            <w:tcBorders>
              <w:top w:val="single" w:color="auto" w:sz="4" w:space="0"/>
              <w:left w:val="single" w:color="auto" w:sz="4" w:space="0"/>
              <w:bottom w:val="single" w:color="auto" w:sz="4" w:space="0"/>
              <w:right w:val="single" w:color="auto" w:sz="4" w:space="0"/>
            </w:tcBorders>
            <w:vAlign w:val="center"/>
          </w:tcPr>
          <w:p w14:paraId="5D4F5A34">
            <w:pPr>
              <w:widowControl/>
              <w:ind w:firstLine="400"/>
              <w:jc w:val="center"/>
              <w:rPr>
                <w:rFonts w:ascii="Times New Roman" w:hAnsi="Times New Roman"/>
                <w:color w:val="000000"/>
              </w:rPr>
            </w:pPr>
          </w:p>
        </w:tc>
      </w:tr>
      <w:tr w14:paraId="113B40EE">
        <w:tc>
          <w:tcPr>
            <w:tcW w:w="7257" w:type="dxa"/>
            <w:tcBorders>
              <w:top w:val="single" w:color="auto" w:sz="4" w:space="0"/>
              <w:left w:val="single" w:color="auto" w:sz="4" w:space="0"/>
              <w:bottom w:val="single" w:color="auto" w:sz="4" w:space="0"/>
              <w:right w:val="single" w:color="auto" w:sz="4" w:space="0"/>
            </w:tcBorders>
            <w:vAlign w:val="center"/>
          </w:tcPr>
          <w:p w14:paraId="1DC76623">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LO423:</w:t>
            </w:r>
            <w:r>
              <w:rPr>
                <w:rFonts w:hint="eastAsia" w:asciiTheme="minorEastAsia" w:hAnsiTheme="minorEastAsia" w:eastAsiaTheme="minorEastAsia"/>
                <w:bCs/>
                <w:sz w:val="20"/>
                <w:szCs w:val="18"/>
              </w:rPr>
              <w:t>有分析和借鉴国际教育理念与实践的能力</w:t>
            </w:r>
          </w:p>
        </w:tc>
        <w:tc>
          <w:tcPr>
            <w:tcW w:w="1242" w:type="dxa"/>
            <w:tcBorders>
              <w:top w:val="single" w:color="auto" w:sz="4" w:space="0"/>
              <w:left w:val="single" w:color="auto" w:sz="4" w:space="0"/>
              <w:bottom w:val="single" w:color="auto" w:sz="4" w:space="0"/>
              <w:right w:val="single" w:color="auto" w:sz="4" w:space="0"/>
            </w:tcBorders>
            <w:vAlign w:val="center"/>
          </w:tcPr>
          <w:p w14:paraId="569B0DDD">
            <w:pPr>
              <w:widowControl/>
              <w:ind w:firstLine="400"/>
              <w:jc w:val="center"/>
              <w:rPr>
                <w:rFonts w:ascii="Times New Roman" w:hAnsi="Times New Roman"/>
                <w:color w:val="000000"/>
              </w:rPr>
            </w:pPr>
          </w:p>
        </w:tc>
      </w:tr>
      <w:tr w14:paraId="0E410B41">
        <w:tc>
          <w:tcPr>
            <w:tcW w:w="8499" w:type="dxa"/>
            <w:gridSpan w:val="2"/>
            <w:tcBorders>
              <w:top w:val="single" w:color="auto" w:sz="4" w:space="0"/>
              <w:left w:val="single" w:color="auto" w:sz="4" w:space="0"/>
              <w:bottom w:val="single" w:color="auto" w:sz="4" w:space="0"/>
              <w:right w:val="single" w:color="auto" w:sz="4" w:space="0"/>
            </w:tcBorders>
            <w:vAlign w:val="center"/>
          </w:tcPr>
          <w:p w14:paraId="6D626A07">
            <w:pPr>
              <w:ind w:firstLine="400" w:firstLineChars="200"/>
              <w:jc w:val="left"/>
              <w:rPr>
                <w:rFonts w:asciiTheme="minorEastAsia" w:hAnsiTheme="minorEastAsia" w:eastAsiaTheme="minorEastAsia"/>
                <w:b/>
                <w:sz w:val="20"/>
                <w:szCs w:val="18"/>
              </w:rPr>
            </w:pPr>
            <w:r>
              <w:rPr>
                <w:rFonts w:hint="eastAsia" w:asciiTheme="minorEastAsia" w:hAnsiTheme="minorEastAsia" w:eastAsiaTheme="minorEastAsia"/>
                <w:b/>
                <w:sz w:val="20"/>
                <w:szCs w:val="18"/>
              </w:rPr>
              <w:t>LO43：交流合作</w:t>
            </w:r>
          </w:p>
        </w:tc>
      </w:tr>
      <w:tr w14:paraId="296FB794">
        <w:tc>
          <w:tcPr>
            <w:tcW w:w="7257" w:type="dxa"/>
            <w:tcBorders>
              <w:top w:val="single" w:color="auto" w:sz="4" w:space="0"/>
              <w:left w:val="single" w:color="auto" w:sz="4" w:space="0"/>
              <w:bottom w:val="single" w:color="auto" w:sz="4" w:space="0"/>
              <w:right w:val="single" w:color="auto" w:sz="4" w:space="0"/>
            </w:tcBorders>
            <w:vAlign w:val="center"/>
          </w:tcPr>
          <w:p w14:paraId="761BBA96">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LO431:</w:t>
            </w:r>
            <w:r>
              <w:rPr>
                <w:rFonts w:hint="eastAsia" w:asciiTheme="minorEastAsia" w:hAnsiTheme="minorEastAsia" w:eastAsiaTheme="minorEastAsia"/>
                <w:bCs/>
                <w:sz w:val="20"/>
                <w:szCs w:val="18"/>
              </w:rPr>
              <w:t>具有团队协作精神，认同学习共同体的价值</w:t>
            </w:r>
          </w:p>
        </w:tc>
        <w:tc>
          <w:tcPr>
            <w:tcW w:w="1242" w:type="dxa"/>
            <w:tcBorders>
              <w:top w:val="single" w:color="auto" w:sz="4" w:space="0"/>
              <w:left w:val="single" w:color="auto" w:sz="4" w:space="0"/>
              <w:bottom w:val="single" w:color="auto" w:sz="4" w:space="0"/>
              <w:right w:val="single" w:color="auto" w:sz="4" w:space="0"/>
            </w:tcBorders>
            <w:vAlign w:val="center"/>
          </w:tcPr>
          <w:p w14:paraId="0F0B5F62">
            <w:pPr>
              <w:widowControl/>
              <w:ind w:firstLine="400"/>
              <w:jc w:val="center"/>
              <w:rPr>
                <w:rFonts w:ascii="Times New Roman" w:hAnsi="Times New Roman"/>
                <w:color w:val="000000"/>
              </w:rPr>
            </w:pPr>
          </w:p>
        </w:tc>
      </w:tr>
      <w:tr w14:paraId="3032F859">
        <w:tc>
          <w:tcPr>
            <w:tcW w:w="7257" w:type="dxa"/>
            <w:tcBorders>
              <w:top w:val="single" w:color="auto" w:sz="4" w:space="0"/>
              <w:left w:val="single" w:color="auto" w:sz="4" w:space="0"/>
              <w:bottom w:val="single" w:color="auto" w:sz="4" w:space="0"/>
              <w:right w:val="single" w:color="auto" w:sz="4" w:space="0"/>
            </w:tcBorders>
            <w:vAlign w:val="center"/>
          </w:tcPr>
          <w:p w14:paraId="3B9D063F">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LO432:</w:t>
            </w:r>
            <w:r>
              <w:rPr>
                <w:rFonts w:hint="eastAsia" w:asciiTheme="minorEastAsia" w:hAnsiTheme="minorEastAsia" w:eastAsiaTheme="minorEastAsia"/>
                <w:bCs/>
                <w:sz w:val="20"/>
                <w:szCs w:val="18"/>
              </w:rPr>
              <w:t>掌握沟通合作的技能</w:t>
            </w:r>
          </w:p>
        </w:tc>
        <w:tc>
          <w:tcPr>
            <w:tcW w:w="1242" w:type="dxa"/>
            <w:tcBorders>
              <w:top w:val="single" w:color="auto" w:sz="4" w:space="0"/>
              <w:left w:val="single" w:color="auto" w:sz="4" w:space="0"/>
              <w:bottom w:val="single" w:color="auto" w:sz="4" w:space="0"/>
              <w:right w:val="single" w:color="auto" w:sz="4" w:space="0"/>
            </w:tcBorders>
            <w:vAlign w:val="center"/>
          </w:tcPr>
          <w:p w14:paraId="367B3FED">
            <w:pPr>
              <w:widowControl/>
              <w:ind w:firstLine="400"/>
              <w:jc w:val="center"/>
              <w:rPr>
                <w:rFonts w:ascii="Times New Roman" w:hAnsi="Times New Roman"/>
                <w:color w:val="000000"/>
              </w:rPr>
            </w:pPr>
          </w:p>
        </w:tc>
      </w:tr>
      <w:tr w14:paraId="1DCEA2EC">
        <w:tc>
          <w:tcPr>
            <w:tcW w:w="7257" w:type="dxa"/>
            <w:tcBorders>
              <w:top w:val="single" w:color="auto" w:sz="4" w:space="0"/>
              <w:left w:val="single" w:color="auto" w:sz="4" w:space="0"/>
              <w:bottom w:val="single" w:color="auto" w:sz="4" w:space="0"/>
              <w:right w:val="single" w:color="auto" w:sz="4" w:space="0"/>
            </w:tcBorders>
            <w:vAlign w:val="center"/>
          </w:tcPr>
          <w:p w14:paraId="3B3A740B">
            <w:pPr>
              <w:tabs>
                <w:tab w:val="left" w:pos="4200"/>
              </w:tabs>
              <w:adjustRightInd w:val="0"/>
              <w:snapToGrid w:val="0"/>
              <w:spacing w:line="264" w:lineRule="auto"/>
              <w:ind w:firstLine="400" w:firstLineChars="200"/>
              <w:outlineLvl w:val="1"/>
              <w:rPr>
                <w:rFonts w:asciiTheme="minorEastAsia" w:hAnsiTheme="minorEastAsia" w:eastAsiaTheme="minorEastAsia"/>
                <w:bCs/>
                <w:sz w:val="20"/>
                <w:szCs w:val="18"/>
              </w:rPr>
            </w:pPr>
            <w:r>
              <w:rPr>
                <w:rFonts w:hint="eastAsia" w:asciiTheme="minorEastAsia" w:hAnsiTheme="minorEastAsia" w:eastAsiaTheme="minorEastAsia"/>
                <w:b/>
                <w:sz w:val="20"/>
                <w:szCs w:val="18"/>
              </w:rPr>
              <w:t>LO433:</w:t>
            </w:r>
            <w:r>
              <w:rPr>
                <w:rFonts w:hint="eastAsia" w:asciiTheme="minorEastAsia" w:hAnsiTheme="minorEastAsia" w:eastAsiaTheme="minorEastAsia"/>
                <w:bCs/>
                <w:sz w:val="20"/>
                <w:szCs w:val="18"/>
              </w:rPr>
              <w:t>有参与、组织专业团队开展合作学习的意识和能力</w:t>
            </w:r>
          </w:p>
        </w:tc>
        <w:tc>
          <w:tcPr>
            <w:tcW w:w="1242" w:type="dxa"/>
            <w:tcBorders>
              <w:top w:val="single" w:color="auto" w:sz="4" w:space="0"/>
              <w:left w:val="single" w:color="auto" w:sz="4" w:space="0"/>
              <w:bottom w:val="single" w:color="auto" w:sz="4" w:space="0"/>
              <w:right w:val="single" w:color="auto" w:sz="4" w:space="0"/>
            </w:tcBorders>
            <w:vAlign w:val="center"/>
          </w:tcPr>
          <w:p w14:paraId="5450D68E">
            <w:pPr>
              <w:widowControl/>
              <w:ind w:firstLine="400"/>
              <w:jc w:val="center"/>
              <w:rPr>
                <w:rFonts w:ascii="Times New Roman" w:hAnsi="Times New Roman"/>
                <w:color w:val="000000"/>
              </w:rPr>
            </w:pPr>
          </w:p>
        </w:tc>
      </w:tr>
    </w:tbl>
    <w:p w14:paraId="35E7E23B">
      <w:pPr>
        <w:rPr>
          <w:rFonts w:hint="eastAsia"/>
        </w:rPr>
      </w:pPr>
    </w:p>
    <w:p w14:paraId="5014DE04">
      <w:pPr>
        <w:ind w:firstLine="420" w:firstLineChars="200"/>
        <w:rPr>
          <w:rFonts w:hint="eastAsia" w:ascii="黑体" w:hAnsi="宋体" w:eastAsia="宋体"/>
          <w:sz w:val="24"/>
          <w:highlight w:val="none"/>
          <w:u w:val="none"/>
          <w:lang w:val="en-US" w:eastAsia="zh-CN"/>
        </w:rPr>
      </w:pPr>
      <w:r>
        <w:rPr>
          <w:rFonts w:hint="eastAsia"/>
        </w:rPr>
        <w:t>备注：</w:t>
      </w:r>
      <w:r>
        <w:rPr>
          <w:rFonts w:hint="eastAsia"/>
          <w:lang w:val="en-US" w:eastAsia="zh-CN"/>
        </w:rPr>
        <w:t>LO=learning outcomes（学习成果）</w:t>
      </w:r>
    </w:p>
    <w:p w14:paraId="67EB1698">
      <w:pPr>
        <w:widowControl/>
        <w:spacing w:beforeLines="50" w:afterLines="50" w:line="288" w:lineRule="auto"/>
        <w:ind w:firstLine="360" w:firstLineChars="150"/>
        <w:jc w:val="left"/>
        <w:rPr>
          <w:rFonts w:ascii="黑体" w:hAnsi="宋体" w:eastAsia="黑体"/>
          <w:sz w:val="24"/>
          <w:highlight w:val="none"/>
          <w:u w:val="none"/>
        </w:rPr>
      </w:pPr>
      <w:r>
        <w:rPr>
          <w:rFonts w:hint="eastAsia" w:ascii="黑体" w:hAnsi="宋体" w:eastAsia="黑体"/>
          <w:sz w:val="24"/>
          <w:highlight w:val="none"/>
          <w:u w:val="none"/>
        </w:rPr>
        <w:t>五、</w:t>
      </w:r>
      <w:r>
        <w:rPr>
          <w:rFonts w:ascii="黑体" w:hAnsi="宋体" w:eastAsia="黑体"/>
          <w:sz w:val="24"/>
          <w:highlight w:val="none"/>
          <w:u w:val="none"/>
        </w:rPr>
        <w:t>课程</w:t>
      </w:r>
      <w:r>
        <w:rPr>
          <w:rFonts w:hint="eastAsia" w:ascii="黑体" w:hAnsi="宋体" w:eastAsia="黑体"/>
          <w:sz w:val="24"/>
          <w:highlight w:val="none"/>
          <w:u w:val="none"/>
        </w:rPr>
        <w:t>目标/课程预期学习成果</w:t>
      </w:r>
    </w:p>
    <w:tbl>
      <w:tblPr>
        <w:tblStyle w:val="5"/>
        <w:tblpPr w:leftFromText="180" w:rightFromText="180" w:vertAnchor="text" w:horzAnchor="page" w:tblpX="2163" w:tblpY="152"/>
        <w:tblOverlap w:val="never"/>
        <w:tblW w:w="7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54"/>
        <w:gridCol w:w="2430"/>
        <w:gridCol w:w="2360"/>
        <w:gridCol w:w="1380"/>
      </w:tblGrid>
      <w:tr w14:paraId="0528ECCF">
        <w:tc>
          <w:tcPr>
            <w:tcW w:w="535" w:type="dxa"/>
            <w:shd w:val="clear" w:color="auto" w:fill="auto"/>
          </w:tcPr>
          <w:p w14:paraId="01607121">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054" w:type="dxa"/>
            <w:shd w:val="clear" w:color="auto" w:fill="auto"/>
          </w:tcPr>
          <w:p w14:paraId="151C9A5D">
            <w:pPr>
              <w:snapToGrid w:val="0"/>
              <w:spacing w:line="288" w:lineRule="auto"/>
              <w:jc w:val="center"/>
              <w:rPr>
                <w:b/>
                <w:color w:val="000000"/>
                <w:sz w:val="20"/>
                <w:szCs w:val="20"/>
                <w:highlight w:val="none"/>
              </w:rPr>
            </w:pPr>
            <w:r>
              <w:rPr>
                <w:rFonts w:hint="eastAsia"/>
                <w:b/>
                <w:color w:val="000000"/>
                <w:sz w:val="20"/>
                <w:szCs w:val="20"/>
                <w:highlight w:val="none"/>
              </w:rPr>
              <w:t>课程预期</w:t>
            </w:r>
          </w:p>
          <w:p w14:paraId="2B9CEE20">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30" w:type="dxa"/>
            <w:shd w:val="clear" w:color="auto" w:fill="auto"/>
            <w:vAlign w:val="center"/>
          </w:tcPr>
          <w:p w14:paraId="62425488">
            <w:pPr>
              <w:snapToGrid w:val="0"/>
              <w:spacing w:line="288" w:lineRule="auto"/>
              <w:jc w:val="center"/>
              <w:rPr>
                <w:b/>
                <w:color w:val="000000"/>
                <w:sz w:val="20"/>
                <w:szCs w:val="20"/>
                <w:highlight w:val="none"/>
              </w:rPr>
            </w:pPr>
            <w:r>
              <w:rPr>
                <w:rFonts w:hint="eastAsia"/>
                <w:b/>
                <w:color w:val="000000"/>
                <w:sz w:val="20"/>
                <w:szCs w:val="20"/>
                <w:highlight w:val="none"/>
              </w:rPr>
              <w:t>课程目标</w:t>
            </w:r>
          </w:p>
          <w:p w14:paraId="247156C4">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360" w:type="dxa"/>
            <w:shd w:val="clear" w:color="auto" w:fill="auto"/>
            <w:vAlign w:val="center"/>
          </w:tcPr>
          <w:p w14:paraId="49A374EC">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380" w:type="dxa"/>
            <w:shd w:val="clear" w:color="auto" w:fill="auto"/>
            <w:vAlign w:val="center"/>
          </w:tcPr>
          <w:p w14:paraId="5BC6F566">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14:paraId="726AF47A">
        <w:tc>
          <w:tcPr>
            <w:tcW w:w="535" w:type="dxa"/>
            <w:shd w:val="clear" w:color="auto" w:fill="auto"/>
          </w:tcPr>
          <w:p w14:paraId="48292137">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w:t>
            </w:r>
          </w:p>
        </w:tc>
        <w:tc>
          <w:tcPr>
            <w:tcW w:w="1054" w:type="dxa"/>
            <w:shd w:val="clear" w:color="auto" w:fill="auto"/>
          </w:tcPr>
          <w:p w14:paraId="7618C335">
            <w:pPr>
              <w:snapToGrid w:val="0"/>
              <w:spacing w:line="288" w:lineRule="auto"/>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XQ222</w:t>
            </w:r>
          </w:p>
        </w:tc>
        <w:tc>
          <w:tcPr>
            <w:tcW w:w="2430" w:type="dxa"/>
            <w:shd w:val="clear" w:color="auto" w:fill="auto"/>
          </w:tcPr>
          <w:p w14:paraId="1E3BDC13">
            <w:pPr>
              <w:widowControl/>
              <w:rPr>
                <w:rFonts w:hint="eastAsia"/>
                <w:bCs/>
                <w:color w:val="000000"/>
                <w:sz w:val="20"/>
                <w:szCs w:val="20"/>
              </w:rPr>
            </w:pPr>
            <w:r>
              <w:rPr>
                <w:rFonts w:hint="eastAsia"/>
                <w:bCs/>
                <w:color w:val="000000"/>
                <w:sz w:val="20"/>
                <w:szCs w:val="20"/>
              </w:rPr>
              <w:t>了解</w:t>
            </w:r>
            <w:r>
              <w:rPr>
                <w:rFonts w:hint="eastAsia"/>
                <w:bCs/>
                <w:color w:val="000000"/>
                <w:sz w:val="20"/>
                <w:szCs w:val="20"/>
                <w:lang w:val="en-US" w:eastAsia="zh-CN"/>
              </w:rPr>
              <w:t>幼儿园教师</w:t>
            </w:r>
            <w:r>
              <w:rPr>
                <w:rFonts w:hint="eastAsia"/>
                <w:bCs/>
                <w:color w:val="000000"/>
                <w:sz w:val="20"/>
                <w:szCs w:val="20"/>
              </w:rPr>
              <w:t>工作特点，感受幼教实践的丰富性、复杂性和专业性，树立正确的保教观。</w:t>
            </w:r>
          </w:p>
        </w:tc>
        <w:tc>
          <w:tcPr>
            <w:tcW w:w="2360" w:type="dxa"/>
            <w:shd w:val="clear" w:color="auto" w:fill="auto"/>
          </w:tcPr>
          <w:p w14:paraId="44524F88">
            <w:pPr>
              <w:widowControl/>
              <w:numPr>
                <w:ilvl w:val="0"/>
                <w:numId w:val="2"/>
              </w:numPr>
              <w:rPr>
                <w:rFonts w:hint="eastAsia"/>
                <w:bCs/>
                <w:color w:val="000000"/>
                <w:sz w:val="20"/>
                <w:szCs w:val="20"/>
                <w:lang w:val="en-US" w:eastAsia="zh-CN"/>
              </w:rPr>
            </w:pPr>
            <w:r>
              <w:rPr>
                <w:rFonts w:hint="eastAsia"/>
                <w:bCs/>
                <w:color w:val="000000"/>
                <w:sz w:val="20"/>
                <w:szCs w:val="20"/>
                <w:lang w:val="en-US" w:eastAsia="zh-CN"/>
              </w:rPr>
              <w:t>幼儿园现场实践，进入临港地区实验园开展专业实践活动。</w:t>
            </w:r>
          </w:p>
          <w:p w14:paraId="31A6E83E">
            <w:pPr>
              <w:widowControl/>
              <w:numPr>
                <w:ilvl w:val="0"/>
                <w:numId w:val="0"/>
              </w:numPr>
              <w:rPr>
                <w:rFonts w:hint="default"/>
                <w:bCs/>
                <w:color w:val="000000"/>
                <w:sz w:val="20"/>
                <w:szCs w:val="20"/>
                <w:lang w:val="en-US" w:eastAsia="zh-CN"/>
              </w:rPr>
            </w:pPr>
            <w:r>
              <w:rPr>
                <w:rFonts w:hint="eastAsia"/>
                <w:bCs/>
                <w:color w:val="000000"/>
                <w:sz w:val="20"/>
                <w:szCs w:val="20"/>
                <w:lang w:val="en-US" w:eastAsia="zh-CN"/>
              </w:rPr>
              <w:t>2.实地观摩并参与幼儿园一日生活、幼儿园保教工作、幼儿园环境创设、家园及社区合作、领域教育等</w:t>
            </w:r>
          </w:p>
        </w:tc>
        <w:tc>
          <w:tcPr>
            <w:tcW w:w="1380" w:type="dxa"/>
            <w:shd w:val="clear" w:color="auto" w:fill="auto"/>
          </w:tcPr>
          <w:p w14:paraId="5ACA56F4">
            <w:pPr>
              <w:rPr>
                <w:rFonts w:hint="eastAsia"/>
                <w:color w:val="000000"/>
                <w:sz w:val="20"/>
                <w:szCs w:val="20"/>
                <w:lang w:val="en-US" w:eastAsia="zh-CN"/>
              </w:rPr>
            </w:pPr>
            <w:r>
              <w:rPr>
                <w:rFonts w:hint="eastAsia"/>
                <w:color w:val="000000"/>
                <w:sz w:val="20"/>
                <w:szCs w:val="20"/>
                <w:lang w:val="en-US" w:eastAsia="zh-CN"/>
              </w:rPr>
              <w:t>常规执行状况；</w:t>
            </w:r>
          </w:p>
          <w:p w14:paraId="37F8CC52">
            <w:pPr>
              <w:rPr>
                <w:rFonts w:hint="eastAsia"/>
                <w:color w:val="000000"/>
                <w:sz w:val="20"/>
                <w:szCs w:val="20"/>
                <w:lang w:val="en-US" w:eastAsia="zh-CN"/>
              </w:rPr>
            </w:pPr>
            <w:r>
              <w:rPr>
                <w:rFonts w:hint="eastAsia"/>
                <w:color w:val="000000"/>
                <w:sz w:val="20"/>
                <w:szCs w:val="20"/>
                <w:lang w:val="en-US" w:eastAsia="zh-CN"/>
              </w:rPr>
              <w:t>记录手册；</w:t>
            </w:r>
          </w:p>
          <w:p w14:paraId="5E69C7FB">
            <w:pPr>
              <w:rPr>
                <w:rFonts w:hint="default"/>
                <w:color w:val="000000"/>
                <w:sz w:val="20"/>
                <w:szCs w:val="20"/>
                <w:lang w:val="en-US" w:eastAsia="zh-CN"/>
              </w:rPr>
            </w:pPr>
            <w:r>
              <w:rPr>
                <w:rFonts w:hint="eastAsia"/>
                <w:color w:val="000000"/>
                <w:sz w:val="20"/>
                <w:szCs w:val="20"/>
                <w:lang w:val="en-US" w:eastAsia="zh-CN"/>
              </w:rPr>
              <w:t>总结报告</w:t>
            </w:r>
          </w:p>
        </w:tc>
      </w:tr>
      <w:tr w14:paraId="20054C0F">
        <w:tc>
          <w:tcPr>
            <w:tcW w:w="535" w:type="dxa"/>
            <w:shd w:val="clear" w:color="auto" w:fill="auto"/>
          </w:tcPr>
          <w:p w14:paraId="178FBA3E">
            <w:pP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w:t>
            </w:r>
          </w:p>
        </w:tc>
        <w:tc>
          <w:tcPr>
            <w:tcW w:w="1054" w:type="dxa"/>
            <w:shd w:val="clear" w:color="auto" w:fill="auto"/>
            <w:vAlign w:val="top"/>
          </w:tcPr>
          <w:p w14:paraId="66AE70EC">
            <w:pPr>
              <w:snapToGrid w:val="0"/>
              <w:spacing w:line="288" w:lineRule="auto"/>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XQ232</w:t>
            </w:r>
          </w:p>
        </w:tc>
        <w:tc>
          <w:tcPr>
            <w:tcW w:w="2430" w:type="dxa"/>
            <w:shd w:val="clear" w:color="auto" w:fill="auto"/>
          </w:tcPr>
          <w:p w14:paraId="7C694D73">
            <w:pPr>
              <w:widowControl/>
              <w:rPr>
                <w:rFonts w:hint="eastAsia"/>
                <w:bCs/>
                <w:color w:val="000000"/>
                <w:sz w:val="20"/>
                <w:szCs w:val="20"/>
              </w:rPr>
            </w:pPr>
            <w:r>
              <w:rPr>
                <w:rFonts w:hint="eastAsia"/>
                <w:bCs/>
                <w:color w:val="000000"/>
                <w:sz w:val="20"/>
                <w:szCs w:val="20"/>
              </w:rPr>
              <w:t>观察和体会</w:t>
            </w:r>
            <w:r>
              <w:rPr>
                <w:rFonts w:hint="eastAsia"/>
                <w:bCs/>
                <w:color w:val="000000"/>
                <w:sz w:val="20"/>
                <w:szCs w:val="20"/>
                <w:lang w:val="en-US" w:eastAsia="zh-CN"/>
              </w:rPr>
              <w:t>幼儿园保教工作、幼儿园环境、课程等的</w:t>
            </w:r>
            <w:r>
              <w:rPr>
                <w:rFonts w:hint="eastAsia"/>
                <w:bCs/>
                <w:color w:val="000000"/>
                <w:sz w:val="20"/>
                <w:szCs w:val="20"/>
              </w:rPr>
              <w:t>课程价值，分析其合理性。</w:t>
            </w:r>
          </w:p>
        </w:tc>
        <w:tc>
          <w:tcPr>
            <w:tcW w:w="2360" w:type="dxa"/>
            <w:shd w:val="clear" w:color="auto" w:fill="auto"/>
          </w:tcPr>
          <w:p w14:paraId="4F5F44AD">
            <w:pPr>
              <w:widowControl/>
              <w:numPr>
                <w:ilvl w:val="0"/>
                <w:numId w:val="3"/>
              </w:numPr>
              <w:rPr>
                <w:rFonts w:hint="eastAsia"/>
                <w:bCs/>
                <w:color w:val="000000"/>
                <w:sz w:val="20"/>
                <w:szCs w:val="20"/>
                <w:lang w:val="en-US" w:eastAsia="zh-CN"/>
              </w:rPr>
            </w:pPr>
            <w:r>
              <w:rPr>
                <w:rFonts w:hint="eastAsia"/>
                <w:bCs/>
                <w:color w:val="000000"/>
                <w:sz w:val="20"/>
                <w:szCs w:val="20"/>
                <w:lang w:val="en-US" w:eastAsia="zh-CN"/>
              </w:rPr>
              <w:t>幼儿园现场实践，进入临港地区实验园开展专业实践活动。</w:t>
            </w:r>
          </w:p>
          <w:p w14:paraId="4E2C43D5">
            <w:pPr>
              <w:widowControl/>
              <w:numPr>
                <w:ilvl w:val="0"/>
                <w:numId w:val="0"/>
              </w:numPr>
              <w:rPr>
                <w:rFonts w:hint="eastAsia"/>
                <w:bCs/>
                <w:color w:val="000000"/>
                <w:sz w:val="20"/>
                <w:szCs w:val="20"/>
                <w:lang w:val="en-US" w:eastAsia="zh-CN"/>
              </w:rPr>
            </w:pPr>
            <w:r>
              <w:rPr>
                <w:rFonts w:hint="eastAsia"/>
                <w:bCs/>
                <w:color w:val="000000"/>
                <w:sz w:val="20"/>
                <w:szCs w:val="20"/>
                <w:lang w:val="en-US" w:eastAsia="zh-CN"/>
              </w:rPr>
              <w:t>2.实地观摩并参与幼儿园一日生活、幼儿园保教工作、幼儿园环境创设、家园及社区合作、领域教育等</w:t>
            </w:r>
          </w:p>
        </w:tc>
        <w:tc>
          <w:tcPr>
            <w:tcW w:w="1380" w:type="dxa"/>
            <w:shd w:val="clear" w:color="auto" w:fill="auto"/>
          </w:tcPr>
          <w:p w14:paraId="4AB2EE96">
            <w:pPr>
              <w:rPr>
                <w:rFonts w:hint="eastAsia"/>
                <w:color w:val="000000"/>
                <w:sz w:val="20"/>
                <w:szCs w:val="20"/>
                <w:lang w:val="en-US" w:eastAsia="zh-CN"/>
              </w:rPr>
            </w:pPr>
            <w:r>
              <w:rPr>
                <w:rFonts w:hint="eastAsia"/>
                <w:color w:val="000000"/>
                <w:sz w:val="20"/>
                <w:szCs w:val="20"/>
                <w:lang w:val="en-US" w:eastAsia="zh-CN"/>
              </w:rPr>
              <w:t>常规执行状况；</w:t>
            </w:r>
          </w:p>
          <w:p w14:paraId="7067BFFC">
            <w:pPr>
              <w:rPr>
                <w:rFonts w:hint="eastAsia"/>
                <w:color w:val="000000"/>
                <w:sz w:val="20"/>
                <w:szCs w:val="20"/>
                <w:lang w:val="en-US" w:eastAsia="zh-CN"/>
              </w:rPr>
            </w:pPr>
            <w:r>
              <w:rPr>
                <w:rFonts w:hint="eastAsia"/>
                <w:color w:val="000000"/>
                <w:sz w:val="20"/>
                <w:szCs w:val="20"/>
                <w:lang w:val="en-US" w:eastAsia="zh-CN"/>
              </w:rPr>
              <w:t>记录手册；</w:t>
            </w:r>
          </w:p>
          <w:p w14:paraId="65B710E7">
            <w:pPr>
              <w:rPr>
                <w:rFonts w:hint="eastAsia"/>
                <w:color w:val="000000"/>
                <w:sz w:val="20"/>
                <w:szCs w:val="20"/>
                <w:lang w:val="en-US" w:eastAsia="zh-CN"/>
              </w:rPr>
            </w:pPr>
            <w:r>
              <w:rPr>
                <w:rFonts w:hint="eastAsia"/>
                <w:color w:val="000000"/>
                <w:sz w:val="20"/>
                <w:szCs w:val="20"/>
                <w:lang w:val="en-US" w:eastAsia="zh-CN"/>
              </w:rPr>
              <w:t>总结报告</w:t>
            </w:r>
          </w:p>
        </w:tc>
      </w:tr>
      <w:tr w14:paraId="318FE3EF">
        <w:tc>
          <w:tcPr>
            <w:tcW w:w="535" w:type="dxa"/>
            <w:shd w:val="clear" w:color="auto" w:fill="auto"/>
          </w:tcPr>
          <w:p w14:paraId="4372BC50">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szCs w:val="24"/>
                <w:lang w:val="en-US" w:eastAsia="zh-CN"/>
              </w:rPr>
              <w:t>3</w:t>
            </w:r>
          </w:p>
        </w:tc>
        <w:tc>
          <w:tcPr>
            <w:tcW w:w="1054" w:type="dxa"/>
            <w:shd w:val="clear" w:color="auto" w:fill="auto"/>
            <w:vAlign w:val="top"/>
          </w:tcPr>
          <w:p w14:paraId="2C1DCDE0">
            <w:pPr>
              <w:snapToGrid w:val="0"/>
              <w:spacing w:line="288" w:lineRule="auto"/>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XQ411</w:t>
            </w:r>
          </w:p>
        </w:tc>
        <w:tc>
          <w:tcPr>
            <w:tcW w:w="2430" w:type="dxa"/>
            <w:shd w:val="clear" w:color="auto" w:fill="auto"/>
          </w:tcPr>
          <w:p w14:paraId="69E6C3C8">
            <w:pPr>
              <w:widowControl/>
              <w:rPr>
                <w:rFonts w:hint="eastAsia"/>
                <w:bCs/>
                <w:color w:val="000000"/>
                <w:sz w:val="20"/>
                <w:szCs w:val="20"/>
                <w:lang w:eastAsia="zh-CN"/>
              </w:rPr>
            </w:pPr>
            <w:r>
              <w:rPr>
                <w:rFonts w:hint="eastAsia"/>
                <w:bCs/>
                <w:color w:val="000000"/>
                <w:sz w:val="20"/>
                <w:szCs w:val="20"/>
              </w:rPr>
              <w:t>学生进入保教现场体验或通过现场视频观看，在保教实践体验的基础上各自记录过程要点、感悟及疑问，然后进行分析整理并提出问题，进而</w:t>
            </w:r>
            <w:r>
              <w:rPr>
                <w:rFonts w:hint="eastAsia"/>
                <w:bCs/>
                <w:color w:val="000000"/>
                <w:sz w:val="20"/>
                <w:szCs w:val="20"/>
                <w:lang w:val="en-US" w:eastAsia="zh-CN"/>
              </w:rPr>
              <w:t>通过</w:t>
            </w:r>
            <w:r>
              <w:rPr>
                <w:rFonts w:hint="eastAsia"/>
                <w:bCs/>
                <w:color w:val="000000"/>
                <w:sz w:val="20"/>
                <w:szCs w:val="20"/>
              </w:rPr>
              <w:t>阅读、思考，借助专业课程的视角等提出自己的见解</w:t>
            </w:r>
            <w:r>
              <w:rPr>
                <w:rFonts w:hint="eastAsia"/>
                <w:bCs/>
                <w:color w:val="000000"/>
                <w:sz w:val="20"/>
                <w:szCs w:val="20"/>
                <w:lang w:eastAsia="zh-CN"/>
              </w:rPr>
              <w:t>。</w:t>
            </w:r>
          </w:p>
        </w:tc>
        <w:tc>
          <w:tcPr>
            <w:tcW w:w="2360" w:type="dxa"/>
            <w:shd w:val="clear" w:color="auto" w:fill="auto"/>
          </w:tcPr>
          <w:p w14:paraId="70498D24">
            <w:pPr>
              <w:widowControl/>
              <w:numPr>
                <w:ilvl w:val="0"/>
                <w:numId w:val="4"/>
              </w:numPr>
              <w:rPr>
                <w:rFonts w:hint="eastAsia"/>
                <w:bCs/>
                <w:color w:val="000000"/>
                <w:sz w:val="20"/>
                <w:szCs w:val="20"/>
                <w:lang w:val="en-US" w:eastAsia="zh-CN"/>
              </w:rPr>
            </w:pPr>
            <w:r>
              <w:rPr>
                <w:rFonts w:hint="eastAsia"/>
                <w:bCs/>
                <w:color w:val="000000"/>
                <w:sz w:val="20"/>
                <w:szCs w:val="20"/>
                <w:lang w:val="en-US" w:eastAsia="zh-CN"/>
              </w:rPr>
              <w:t>幼儿园现场观摩，进入临港地区实验园开展专业实践活动。</w:t>
            </w:r>
          </w:p>
          <w:p w14:paraId="1B9B4C0B">
            <w:pPr>
              <w:widowControl/>
              <w:numPr>
                <w:ilvl w:val="0"/>
                <w:numId w:val="0"/>
              </w:numPr>
              <w:rPr>
                <w:rFonts w:hint="default"/>
                <w:bCs/>
                <w:color w:val="000000"/>
                <w:sz w:val="20"/>
                <w:szCs w:val="20"/>
                <w:lang w:val="en-US" w:eastAsia="zh-CN"/>
              </w:rPr>
            </w:pPr>
            <w:r>
              <w:rPr>
                <w:rFonts w:hint="eastAsia"/>
                <w:bCs/>
                <w:color w:val="000000"/>
                <w:sz w:val="20"/>
                <w:szCs w:val="20"/>
                <w:lang w:val="en-US" w:eastAsia="zh-CN"/>
              </w:rPr>
              <w:t>2.实地观摩幼儿园一日生活、幼儿园保教工作等，参与幼儿园一日生活的组织、幼儿园环境创设等</w:t>
            </w:r>
          </w:p>
        </w:tc>
        <w:tc>
          <w:tcPr>
            <w:tcW w:w="1380" w:type="dxa"/>
            <w:shd w:val="clear" w:color="auto" w:fill="auto"/>
          </w:tcPr>
          <w:p w14:paraId="0598ED97">
            <w:pPr>
              <w:rPr>
                <w:rFonts w:hint="eastAsia"/>
                <w:color w:val="000000"/>
                <w:sz w:val="20"/>
                <w:szCs w:val="20"/>
                <w:lang w:val="en-US" w:eastAsia="zh-CN"/>
              </w:rPr>
            </w:pPr>
            <w:r>
              <w:rPr>
                <w:rFonts w:hint="eastAsia"/>
                <w:color w:val="000000"/>
                <w:sz w:val="20"/>
                <w:szCs w:val="20"/>
                <w:lang w:val="en-US" w:eastAsia="zh-CN"/>
              </w:rPr>
              <w:t>常规执行状况；</w:t>
            </w:r>
          </w:p>
          <w:p w14:paraId="09B9FD01">
            <w:pPr>
              <w:rPr>
                <w:rFonts w:hint="eastAsia"/>
                <w:color w:val="000000"/>
                <w:sz w:val="20"/>
                <w:szCs w:val="20"/>
                <w:lang w:val="en-US" w:eastAsia="zh-CN"/>
              </w:rPr>
            </w:pPr>
            <w:r>
              <w:rPr>
                <w:rFonts w:hint="eastAsia"/>
                <w:color w:val="000000"/>
                <w:sz w:val="20"/>
                <w:szCs w:val="20"/>
                <w:lang w:val="en-US" w:eastAsia="zh-CN"/>
              </w:rPr>
              <w:t>记录手册；</w:t>
            </w:r>
          </w:p>
          <w:p w14:paraId="3902EA48">
            <w:pPr>
              <w:rPr>
                <w:rFonts w:hint="default"/>
                <w:color w:val="000000"/>
                <w:sz w:val="20"/>
                <w:szCs w:val="20"/>
                <w:lang w:val="en-US" w:eastAsia="zh-CN"/>
              </w:rPr>
            </w:pPr>
            <w:r>
              <w:rPr>
                <w:rFonts w:hint="eastAsia"/>
                <w:color w:val="000000"/>
                <w:sz w:val="20"/>
                <w:szCs w:val="20"/>
                <w:lang w:val="en-US" w:eastAsia="zh-CN"/>
              </w:rPr>
              <w:t>总结报告</w:t>
            </w:r>
          </w:p>
        </w:tc>
      </w:tr>
    </w:tbl>
    <w:p w14:paraId="4F0A04E0">
      <w:pPr>
        <w:numPr>
          <w:ilvl w:val="0"/>
          <w:numId w:val="0"/>
        </w:numPr>
        <w:snapToGrid w:val="0"/>
        <w:spacing w:line="288" w:lineRule="auto"/>
        <w:rPr>
          <w:rFonts w:hint="eastAsia" w:ascii="黑体" w:hAnsi="宋体" w:eastAsia="黑体"/>
          <w:sz w:val="24"/>
          <w:lang w:val="en-US" w:eastAsia="zh-CN"/>
        </w:rPr>
      </w:pPr>
    </w:p>
    <w:p w14:paraId="18CBB49F">
      <w:pPr>
        <w:numPr>
          <w:ilvl w:val="0"/>
          <w:numId w:val="0"/>
        </w:numPr>
        <w:snapToGrid w:val="0"/>
        <w:spacing w:line="288" w:lineRule="auto"/>
        <w:rPr>
          <w:rFonts w:hint="eastAsia" w:ascii="黑体" w:hAnsi="宋体" w:eastAsia="黑体"/>
          <w:sz w:val="24"/>
          <w:lang w:val="en-US" w:eastAsia="zh-CN"/>
        </w:rPr>
      </w:pPr>
    </w:p>
    <w:p w14:paraId="637986F3">
      <w:pPr>
        <w:numPr>
          <w:ilvl w:val="0"/>
          <w:numId w:val="0"/>
        </w:numPr>
        <w:snapToGrid w:val="0"/>
        <w:spacing w:line="288" w:lineRule="auto"/>
        <w:ind w:leftChars="150"/>
        <w:rPr>
          <w:rFonts w:ascii="黑体" w:hAnsi="宋体" w:eastAsia="黑体"/>
          <w:sz w:val="24"/>
        </w:rPr>
      </w:pPr>
      <w:r>
        <w:rPr>
          <w:rFonts w:hint="eastAsia" w:ascii="黑体" w:hAnsi="宋体" w:eastAsia="黑体"/>
          <w:sz w:val="24"/>
          <w:lang w:val="en-US" w:eastAsia="zh-CN"/>
        </w:rPr>
        <w:t>六、</w:t>
      </w:r>
      <w:r>
        <w:rPr>
          <w:rFonts w:ascii="黑体" w:hAnsi="宋体" w:eastAsia="黑体"/>
          <w:sz w:val="24"/>
        </w:rPr>
        <w:t>课程内容</w:t>
      </w:r>
    </w:p>
    <w:tbl>
      <w:tblPr>
        <w:tblStyle w:val="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924"/>
        <w:gridCol w:w="1924"/>
        <w:gridCol w:w="1924"/>
        <w:gridCol w:w="1924"/>
      </w:tblGrid>
      <w:tr w14:paraId="499C5B9B">
        <w:trPr>
          <w:trHeight w:val="90" w:hRule="atLeast"/>
          <w:jc w:val="center"/>
        </w:trPr>
        <w:tc>
          <w:tcPr>
            <w:tcW w:w="1307" w:type="dxa"/>
            <w:vAlign w:val="center"/>
          </w:tcPr>
          <w:p w14:paraId="64E30538">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1924" w:type="dxa"/>
            <w:vAlign w:val="center"/>
          </w:tcPr>
          <w:p w14:paraId="1037B735">
            <w:pPr>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知识目标</w:t>
            </w:r>
          </w:p>
        </w:tc>
        <w:tc>
          <w:tcPr>
            <w:tcW w:w="1924" w:type="dxa"/>
            <w:vAlign w:val="center"/>
          </w:tcPr>
          <w:p w14:paraId="270A7E2A">
            <w:pPr>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rPr>
              <w:t>能力</w:t>
            </w:r>
            <w:r>
              <w:rPr>
                <w:rFonts w:hint="eastAsia" w:asciiTheme="minorEastAsia" w:hAnsiTheme="minorEastAsia" w:eastAsiaTheme="minorEastAsia"/>
                <w:b/>
                <w:szCs w:val="21"/>
                <w:lang w:val="en-US" w:eastAsia="zh-CN"/>
              </w:rPr>
              <w:t>目标</w:t>
            </w:r>
          </w:p>
        </w:tc>
        <w:tc>
          <w:tcPr>
            <w:tcW w:w="1924" w:type="dxa"/>
            <w:vAlign w:val="center"/>
          </w:tcPr>
          <w:p w14:paraId="5A75AF7B">
            <w:pPr>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情感目标</w:t>
            </w:r>
          </w:p>
        </w:tc>
        <w:tc>
          <w:tcPr>
            <w:tcW w:w="1924" w:type="dxa"/>
            <w:vAlign w:val="center"/>
          </w:tcPr>
          <w:p w14:paraId="1A87027C">
            <w:pPr>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重难点</w:t>
            </w:r>
          </w:p>
        </w:tc>
      </w:tr>
      <w:tr w14:paraId="748EE53E">
        <w:trPr>
          <w:trHeight w:val="90" w:hRule="atLeast"/>
          <w:jc w:val="center"/>
        </w:trPr>
        <w:tc>
          <w:tcPr>
            <w:tcW w:w="1307" w:type="dxa"/>
            <w:vAlign w:val="center"/>
          </w:tcPr>
          <w:p w14:paraId="2C46747A">
            <w:pPr>
              <w:rPr>
                <w:rFonts w:asciiTheme="minorEastAsia" w:hAnsiTheme="minorEastAsia" w:eastAsiaTheme="minorEastAsia"/>
                <w:bCs/>
                <w:szCs w:val="21"/>
              </w:rPr>
            </w:pPr>
            <w:r>
              <w:rPr>
                <w:rFonts w:hint="eastAsia" w:asciiTheme="minorEastAsia" w:hAnsiTheme="minorEastAsia" w:eastAsiaTheme="minorEastAsia"/>
                <w:bCs/>
                <w:szCs w:val="21"/>
              </w:rPr>
              <w:t>第五学期，实践的“参悟真经”，深入保教现场，观察思考，动手操作。</w:t>
            </w:r>
          </w:p>
          <w:p w14:paraId="70DD9852">
            <w:pPr>
              <w:rPr>
                <w:rFonts w:hint="default" w:asciiTheme="minorEastAsia" w:hAnsiTheme="minorEastAsia" w:eastAsiaTheme="minorEastAsia"/>
                <w:bCs/>
                <w:szCs w:val="21"/>
                <w:lang w:val="en-US" w:eastAsia="zh-CN"/>
              </w:rPr>
            </w:pPr>
          </w:p>
        </w:tc>
        <w:tc>
          <w:tcPr>
            <w:tcW w:w="1924" w:type="dxa"/>
            <w:vAlign w:val="center"/>
          </w:tcPr>
          <w:p w14:paraId="02D2910D">
            <w:pPr>
              <w:numPr>
                <w:ilvl w:val="0"/>
                <w:numId w:val="0"/>
              </w:numPr>
              <w:rPr>
                <w:rFonts w:asciiTheme="minorEastAsia" w:hAnsiTheme="minorEastAsia" w:eastAsiaTheme="minorEastAsia"/>
                <w:bCs/>
                <w:szCs w:val="21"/>
              </w:rPr>
            </w:pPr>
            <w:r>
              <w:rPr>
                <w:rFonts w:hint="eastAsia" w:asciiTheme="minorEastAsia" w:hAnsiTheme="minorEastAsia" w:eastAsiaTheme="minorEastAsia"/>
                <w:bCs/>
                <w:szCs w:val="21"/>
                <w:lang w:val="en-US" w:eastAsia="zh-CN"/>
              </w:rPr>
              <w:t>1.</w:t>
            </w:r>
            <w:r>
              <w:rPr>
                <w:rFonts w:hint="eastAsia" w:asciiTheme="minorEastAsia" w:hAnsiTheme="minorEastAsia" w:eastAsiaTheme="minorEastAsia"/>
                <w:bCs/>
                <w:szCs w:val="21"/>
              </w:rPr>
              <w:t>分析游戏与幼儿发展的关系问题。</w:t>
            </w:r>
          </w:p>
          <w:p w14:paraId="671B8ED5">
            <w:pPr>
              <w:numPr>
                <w:ilvl w:val="0"/>
                <w:numId w:val="5"/>
              </w:numPr>
              <w:rPr>
                <w:rFonts w:asciiTheme="minorEastAsia" w:hAnsiTheme="minorEastAsia" w:eastAsiaTheme="minorEastAsia"/>
                <w:bCs/>
                <w:szCs w:val="21"/>
              </w:rPr>
            </w:pPr>
            <w:r>
              <w:rPr>
                <w:rFonts w:hint="eastAsia" w:asciiTheme="minorEastAsia" w:hAnsiTheme="minorEastAsia" w:eastAsiaTheme="minorEastAsia"/>
                <w:bCs/>
                <w:szCs w:val="21"/>
              </w:rPr>
              <w:t>理解幼儿观察与课程生长的关系问题。</w:t>
            </w:r>
          </w:p>
          <w:p w14:paraId="3F2E052A">
            <w:pPr>
              <w:numPr>
                <w:ilvl w:val="0"/>
                <w:numId w:val="5"/>
              </w:numPr>
              <w:rPr>
                <w:rFonts w:asciiTheme="minorEastAsia" w:hAnsiTheme="minorEastAsia" w:eastAsiaTheme="minorEastAsia"/>
                <w:bCs/>
                <w:szCs w:val="21"/>
              </w:rPr>
            </w:pPr>
            <w:r>
              <w:rPr>
                <w:rFonts w:hint="eastAsia" w:asciiTheme="minorEastAsia" w:hAnsiTheme="minorEastAsia" w:eastAsiaTheme="minorEastAsia"/>
                <w:bCs/>
                <w:szCs w:val="21"/>
              </w:rPr>
              <w:t>家庭及社区合作及现实中的问题。</w:t>
            </w:r>
          </w:p>
          <w:p w14:paraId="488F6E59">
            <w:pPr>
              <w:numPr>
                <w:ilvl w:val="0"/>
                <w:numId w:val="5"/>
              </w:numPr>
              <w:rPr>
                <w:rFonts w:hint="eastAsia" w:asciiTheme="minorEastAsia" w:hAnsiTheme="minorEastAsia" w:eastAsiaTheme="minorEastAsia"/>
                <w:bCs/>
                <w:szCs w:val="21"/>
              </w:rPr>
            </w:pPr>
            <w:r>
              <w:rPr>
                <w:rFonts w:hint="eastAsia" w:asciiTheme="minorEastAsia" w:hAnsiTheme="minorEastAsia" w:eastAsiaTheme="minorEastAsia"/>
                <w:bCs/>
                <w:szCs w:val="21"/>
              </w:rPr>
              <w:t>了解幼儿园课程的预设与生成。</w:t>
            </w:r>
          </w:p>
        </w:tc>
        <w:tc>
          <w:tcPr>
            <w:tcW w:w="1924" w:type="dxa"/>
            <w:vAlign w:val="center"/>
          </w:tcPr>
          <w:p w14:paraId="5294A08E">
            <w:pPr>
              <w:numPr>
                <w:ilvl w:val="0"/>
                <w:numId w:val="6"/>
              </w:numPr>
              <w:rPr>
                <w:rFonts w:hint="eastAsia" w:asciiTheme="minorEastAsia" w:hAnsiTheme="minorEastAsia" w:eastAsiaTheme="minorEastAsia"/>
                <w:bCs/>
                <w:szCs w:val="21"/>
              </w:rPr>
            </w:pPr>
            <w:r>
              <w:rPr>
                <w:rFonts w:hint="eastAsia" w:asciiTheme="minorEastAsia" w:hAnsiTheme="minorEastAsia" w:eastAsiaTheme="minorEastAsia"/>
                <w:bCs/>
                <w:szCs w:val="21"/>
              </w:rPr>
              <w:t>观察发现能力体现到幼儿园课程生长的能力上。</w:t>
            </w:r>
          </w:p>
          <w:p w14:paraId="459011D4">
            <w:pPr>
              <w:numPr>
                <w:ilvl w:val="0"/>
                <w:numId w:val="6"/>
              </w:numPr>
              <w:rPr>
                <w:rFonts w:hint="eastAsia" w:asciiTheme="minorEastAsia" w:hAnsiTheme="minorEastAsia" w:eastAsiaTheme="minorEastAsia"/>
                <w:bCs/>
                <w:szCs w:val="21"/>
              </w:rPr>
            </w:pPr>
            <w:r>
              <w:rPr>
                <w:rFonts w:hint="eastAsia" w:asciiTheme="minorEastAsia" w:hAnsiTheme="minorEastAsia" w:eastAsiaTheme="minorEastAsia"/>
                <w:bCs/>
                <w:szCs w:val="21"/>
              </w:rPr>
              <w:t>结合幼儿园游戏、学前儿童行为观察与分析、班级管理、家庭社区教育等相关专业课程的学习进行幼儿游戏、教师观察和课程生长的综合尝试</w:t>
            </w:r>
          </w:p>
          <w:p w14:paraId="102D3147">
            <w:pPr>
              <w:numPr>
                <w:ilvl w:val="0"/>
                <w:numId w:val="6"/>
              </w:numPr>
              <w:rPr>
                <w:rFonts w:hint="eastAsia" w:asciiTheme="minorEastAsia" w:hAnsiTheme="minorEastAsia" w:eastAsiaTheme="minorEastAsia"/>
                <w:bCs/>
                <w:szCs w:val="21"/>
              </w:rPr>
            </w:pPr>
            <w:r>
              <w:rPr>
                <w:rFonts w:hint="eastAsia" w:asciiTheme="minorEastAsia" w:hAnsiTheme="minorEastAsia" w:eastAsiaTheme="minorEastAsia"/>
                <w:bCs/>
                <w:szCs w:val="21"/>
              </w:rPr>
              <w:t>在家园、社区合作的实践中思考并解决其中遇到的问题。</w:t>
            </w:r>
          </w:p>
          <w:p w14:paraId="05CF0D49">
            <w:pPr>
              <w:numPr>
                <w:ilvl w:val="0"/>
                <w:numId w:val="6"/>
              </w:numPr>
              <w:rPr>
                <w:rFonts w:hint="eastAsia" w:asciiTheme="minorEastAsia" w:hAnsiTheme="minorEastAsia" w:eastAsiaTheme="minorEastAsia"/>
                <w:bCs/>
                <w:szCs w:val="21"/>
              </w:rPr>
            </w:pPr>
            <w:r>
              <w:rPr>
                <w:rFonts w:hint="eastAsia" w:asciiTheme="minorEastAsia" w:hAnsiTheme="minorEastAsia" w:eastAsiaTheme="minorEastAsia"/>
                <w:bCs/>
                <w:szCs w:val="21"/>
              </w:rPr>
              <w:t>在观察、体验的过程中积累案例，并能从中发现问题，研究问题，尝试解决问题。</w:t>
            </w:r>
          </w:p>
        </w:tc>
        <w:tc>
          <w:tcPr>
            <w:tcW w:w="1924" w:type="dxa"/>
            <w:vAlign w:val="center"/>
          </w:tcPr>
          <w:p w14:paraId="189E3B1E">
            <w:pPr>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1.</w:t>
            </w:r>
            <w:r>
              <w:rPr>
                <w:rFonts w:hint="eastAsia" w:asciiTheme="minorEastAsia" w:hAnsiTheme="minorEastAsia" w:eastAsiaTheme="minorEastAsia"/>
                <w:bCs/>
                <w:szCs w:val="21"/>
              </w:rPr>
              <w:t>培养学前教育专业综合素质和实践智慧。</w:t>
            </w:r>
          </w:p>
          <w:p w14:paraId="150B257F">
            <w:pPr>
              <w:rPr>
                <w:rFonts w:hint="eastAsia" w:asciiTheme="minorEastAsia" w:hAnsiTheme="minorEastAsia" w:eastAsiaTheme="minorEastAsia"/>
                <w:bCs/>
                <w:szCs w:val="21"/>
              </w:rPr>
            </w:pPr>
            <w:r>
              <w:rPr>
                <w:rFonts w:hint="eastAsia" w:asciiTheme="minorEastAsia" w:hAnsiTheme="minorEastAsia" w:eastAsiaTheme="minorEastAsia"/>
                <w:bCs/>
                <w:szCs w:val="21"/>
              </w:rPr>
              <w:t>2.在保教现场的师幼互动中增强发现孩子的情感和习惯。</w:t>
            </w:r>
          </w:p>
          <w:p w14:paraId="4B089917">
            <w:pPr>
              <w:rPr>
                <w:rFonts w:hint="eastAsia" w:asciiTheme="minorEastAsia" w:hAnsiTheme="minorEastAsia" w:eastAsiaTheme="minorEastAsia"/>
                <w:bCs/>
                <w:szCs w:val="21"/>
              </w:rPr>
            </w:pPr>
            <w:r>
              <w:rPr>
                <w:rFonts w:hint="eastAsia" w:asciiTheme="minorEastAsia" w:hAnsiTheme="minorEastAsia" w:eastAsiaTheme="minorEastAsia"/>
                <w:bCs/>
                <w:szCs w:val="21"/>
              </w:rPr>
              <w:t>3.激发热爱学前教育专业情感。</w:t>
            </w:r>
          </w:p>
        </w:tc>
        <w:tc>
          <w:tcPr>
            <w:tcW w:w="1924" w:type="dxa"/>
            <w:vAlign w:val="center"/>
          </w:tcPr>
          <w:p w14:paraId="44C85021">
            <w:pPr>
              <w:rPr>
                <w:rFonts w:asciiTheme="minorEastAsia" w:hAnsiTheme="minorEastAsia" w:eastAsiaTheme="minorEastAsia"/>
                <w:bCs/>
                <w:szCs w:val="21"/>
              </w:rPr>
            </w:pPr>
            <w:r>
              <w:rPr>
                <w:rFonts w:hint="eastAsia" w:asciiTheme="minorEastAsia" w:hAnsiTheme="minorEastAsia" w:eastAsiaTheme="minorEastAsia"/>
                <w:bCs/>
                <w:szCs w:val="21"/>
              </w:rPr>
              <w:t>1</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关注游戏与幼儿发展的关系问题。</w:t>
            </w:r>
          </w:p>
          <w:p w14:paraId="0E0B44A6">
            <w:pPr>
              <w:rPr>
                <w:rFonts w:asciiTheme="minorEastAsia" w:hAnsiTheme="minorEastAsia" w:eastAsiaTheme="minorEastAsia"/>
                <w:bCs/>
                <w:szCs w:val="21"/>
              </w:rPr>
            </w:pPr>
            <w:r>
              <w:rPr>
                <w:rFonts w:hint="eastAsia" w:asciiTheme="minorEastAsia" w:hAnsiTheme="minorEastAsia" w:eastAsiaTheme="minorEastAsia"/>
                <w:bCs/>
                <w:szCs w:val="21"/>
              </w:rPr>
              <w:t>2.关注幼儿观察与课程生长的关系问题。</w:t>
            </w:r>
          </w:p>
          <w:p w14:paraId="0423701D">
            <w:pPr>
              <w:rPr>
                <w:rFonts w:asciiTheme="minorEastAsia" w:hAnsiTheme="minorEastAsia" w:eastAsiaTheme="minorEastAsia"/>
                <w:bCs/>
                <w:szCs w:val="21"/>
              </w:rPr>
            </w:pPr>
            <w:r>
              <w:rPr>
                <w:rFonts w:hint="eastAsia" w:asciiTheme="minorEastAsia" w:hAnsiTheme="minorEastAsia" w:eastAsiaTheme="minorEastAsia"/>
                <w:bCs/>
                <w:szCs w:val="21"/>
              </w:rPr>
              <w:t>3.家庭及社区合作及现实中的问题。</w:t>
            </w:r>
          </w:p>
          <w:p w14:paraId="357D367B">
            <w:pPr>
              <w:rPr>
                <w:rFonts w:hint="eastAsia" w:asciiTheme="minorEastAsia" w:hAnsiTheme="minorEastAsia" w:eastAsiaTheme="minorEastAsia"/>
                <w:bCs/>
                <w:szCs w:val="21"/>
              </w:rPr>
            </w:pPr>
            <w:r>
              <w:rPr>
                <w:rFonts w:hint="eastAsia" w:asciiTheme="minorEastAsia" w:hAnsiTheme="minorEastAsia" w:eastAsiaTheme="minorEastAsia"/>
                <w:bCs/>
                <w:szCs w:val="21"/>
              </w:rPr>
              <w:t>4.幼儿园老师如何“备课”。</w:t>
            </w:r>
          </w:p>
        </w:tc>
      </w:tr>
      <w:tr w14:paraId="1FC18454">
        <w:trPr>
          <w:trHeight w:val="90" w:hRule="atLeast"/>
          <w:jc w:val="center"/>
        </w:trPr>
        <w:tc>
          <w:tcPr>
            <w:tcW w:w="1307" w:type="dxa"/>
            <w:vAlign w:val="center"/>
          </w:tcPr>
          <w:p w14:paraId="43C5D896">
            <w:pPr>
              <w:rPr>
                <w:rFonts w:hint="eastAsia" w:asciiTheme="minorEastAsia" w:hAnsiTheme="minorEastAsia" w:eastAsiaTheme="minorEastAsia"/>
                <w:bCs/>
                <w:szCs w:val="21"/>
              </w:rPr>
            </w:pPr>
            <w:r>
              <w:rPr>
                <w:rFonts w:hint="eastAsia" w:asciiTheme="minorEastAsia" w:hAnsiTheme="minorEastAsia" w:eastAsiaTheme="minorEastAsia"/>
                <w:bCs/>
                <w:szCs w:val="21"/>
              </w:rPr>
              <w:t>第六学期，实践的“仰望星空”阶段，在深入保教实践中逐渐体悟幼教的“好”。</w:t>
            </w:r>
          </w:p>
        </w:tc>
        <w:tc>
          <w:tcPr>
            <w:tcW w:w="1924" w:type="dxa"/>
            <w:vAlign w:val="center"/>
          </w:tcPr>
          <w:p w14:paraId="546F9FB4">
            <w:pPr>
              <w:numPr>
                <w:ilvl w:val="0"/>
                <w:numId w:val="7"/>
              </w:numPr>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理解</w:t>
            </w:r>
            <w:r>
              <w:rPr>
                <w:rFonts w:hint="eastAsia" w:asciiTheme="minorEastAsia" w:hAnsiTheme="minorEastAsia" w:eastAsiaTheme="minorEastAsia"/>
                <w:bCs/>
                <w:szCs w:val="21"/>
              </w:rPr>
              <w:t>一日生活充满伦理的意味。</w:t>
            </w:r>
          </w:p>
          <w:p w14:paraId="09EE8954">
            <w:pPr>
              <w:numPr>
                <w:ilvl w:val="0"/>
                <w:numId w:val="7"/>
              </w:numPr>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分析</w:t>
            </w:r>
            <w:r>
              <w:rPr>
                <w:rFonts w:hint="eastAsia" w:asciiTheme="minorEastAsia" w:hAnsiTheme="minorEastAsia" w:eastAsiaTheme="minorEastAsia"/>
                <w:bCs/>
                <w:szCs w:val="21"/>
              </w:rPr>
              <w:t>幼儿园环境创设的综合理解。</w:t>
            </w:r>
          </w:p>
          <w:p w14:paraId="29536588">
            <w:pPr>
              <w:numPr>
                <w:ilvl w:val="0"/>
                <w:numId w:val="7"/>
              </w:numPr>
              <w:rPr>
                <w:rFonts w:hint="eastAsia" w:asciiTheme="minorEastAsia" w:hAnsiTheme="minorEastAsia" w:eastAsiaTheme="minorEastAsia"/>
                <w:bCs/>
                <w:szCs w:val="21"/>
              </w:rPr>
            </w:pPr>
            <w:r>
              <w:rPr>
                <w:rFonts w:hint="eastAsia" w:asciiTheme="minorEastAsia" w:hAnsiTheme="minorEastAsia" w:eastAsiaTheme="minorEastAsia"/>
                <w:bCs/>
                <w:szCs w:val="21"/>
              </w:rPr>
              <w:t>进一步</w:t>
            </w:r>
            <w:r>
              <w:rPr>
                <w:rFonts w:hint="eastAsia" w:asciiTheme="minorEastAsia" w:hAnsiTheme="minorEastAsia" w:eastAsiaTheme="minorEastAsia"/>
                <w:bCs/>
                <w:szCs w:val="21"/>
                <w:lang w:val="en-US" w:eastAsia="zh-CN"/>
              </w:rPr>
              <w:t>分析与评价</w:t>
            </w:r>
            <w:r>
              <w:rPr>
                <w:rFonts w:hint="eastAsia" w:asciiTheme="minorEastAsia" w:hAnsiTheme="minorEastAsia" w:eastAsiaTheme="minorEastAsia"/>
                <w:bCs/>
                <w:szCs w:val="21"/>
              </w:rPr>
              <w:t>幼儿园环境中的材料。</w:t>
            </w:r>
          </w:p>
          <w:p w14:paraId="6CFB983A">
            <w:pPr>
              <w:numPr>
                <w:ilvl w:val="0"/>
                <w:numId w:val="7"/>
              </w:numPr>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理解</w:t>
            </w:r>
            <w:r>
              <w:rPr>
                <w:rFonts w:hint="eastAsia" w:asciiTheme="minorEastAsia" w:hAnsiTheme="minorEastAsia" w:eastAsiaTheme="minorEastAsia"/>
                <w:bCs/>
                <w:szCs w:val="21"/>
              </w:rPr>
              <w:t>五大领域与幼儿园课程的关系。</w:t>
            </w:r>
          </w:p>
        </w:tc>
        <w:tc>
          <w:tcPr>
            <w:tcW w:w="1924" w:type="dxa"/>
            <w:vAlign w:val="center"/>
          </w:tcPr>
          <w:p w14:paraId="3DEEFCDE">
            <w:pPr>
              <w:numPr>
                <w:ilvl w:val="0"/>
                <w:numId w:val="8"/>
              </w:numPr>
              <w:rPr>
                <w:rFonts w:hint="eastAsia" w:asciiTheme="minorEastAsia" w:hAnsiTheme="minorEastAsia" w:eastAsiaTheme="minorEastAsia"/>
                <w:bCs/>
                <w:szCs w:val="21"/>
              </w:rPr>
            </w:pPr>
            <w:r>
              <w:rPr>
                <w:rFonts w:hint="eastAsia" w:asciiTheme="minorEastAsia" w:hAnsiTheme="minorEastAsia" w:eastAsiaTheme="minorEastAsia"/>
                <w:bCs/>
                <w:szCs w:val="21"/>
              </w:rPr>
              <w:t>结合幼儿园教师专业伦理、幼儿园环境创设等专业课程学习提升保教现场的伦理敏感性和行为规范。</w:t>
            </w:r>
          </w:p>
          <w:p w14:paraId="0959B6A5">
            <w:pPr>
              <w:numPr>
                <w:ilvl w:val="0"/>
                <w:numId w:val="8"/>
              </w:numPr>
              <w:rPr>
                <w:rFonts w:hint="eastAsia" w:asciiTheme="minorEastAsia" w:hAnsiTheme="minorEastAsia" w:eastAsiaTheme="minorEastAsia"/>
                <w:bCs/>
                <w:szCs w:val="21"/>
              </w:rPr>
            </w:pPr>
            <w:r>
              <w:rPr>
                <w:rFonts w:hint="eastAsia" w:asciiTheme="minorEastAsia" w:hAnsiTheme="minorEastAsia" w:eastAsiaTheme="minorEastAsia"/>
                <w:bCs/>
                <w:szCs w:val="21"/>
              </w:rPr>
              <w:t>提升环境创设的综合理解力、分析力和创设力。</w:t>
            </w:r>
          </w:p>
          <w:p w14:paraId="4189E6D1">
            <w:pPr>
              <w:numPr>
                <w:ilvl w:val="0"/>
                <w:numId w:val="8"/>
              </w:numPr>
              <w:rPr>
                <w:rFonts w:hint="eastAsia" w:asciiTheme="minorEastAsia" w:hAnsiTheme="minorEastAsia" w:eastAsiaTheme="minorEastAsia"/>
                <w:bCs/>
                <w:szCs w:val="21"/>
              </w:rPr>
            </w:pPr>
            <w:r>
              <w:rPr>
                <w:rFonts w:hint="eastAsia" w:asciiTheme="minorEastAsia" w:hAnsiTheme="minorEastAsia" w:eastAsiaTheme="minorEastAsia"/>
                <w:bCs/>
                <w:szCs w:val="21"/>
              </w:rPr>
              <w:t>课程整合理解和实施能力。</w:t>
            </w:r>
          </w:p>
        </w:tc>
        <w:tc>
          <w:tcPr>
            <w:tcW w:w="1924" w:type="dxa"/>
            <w:vAlign w:val="center"/>
          </w:tcPr>
          <w:p w14:paraId="3BC10502">
            <w:pPr>
              <w:numPr>
                <w:ilvl w:val="0"/>
                <w:numId w:val="0"/>
              </w:numPr>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1.</w:t>
            </w:r>
            <w:r>
              <w:rPr>
                <w:rFonts w:hint="eastAsia" w:asciiTheme="minorEastAsia" w:hAnsiTheme="minorEastAsia" w:eastAsiaTheme="minorEastAsia"/>
                <w:bCs/>
                <w:szCs w:val="21"/>
              </w:rPr>
              <w:t>强化学前教育专业综合能力学习</w:t>
            </w:r>
          </w:p>
          <w:p w14:paraId="76C6204D">
            <w:pPr>
              <w:numPr>
                <w:ilvl w:val="0"/>
                <w:numId w:val="0"/>
              </w:numPr>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2.</w:t>
            </w:r>
            <w:r>
              <w:rPr>
                <w:rFonts w:hint="eastAsia" w:asciiTheme="minorEastAsia" w:hAnsiTheme="minorEastAsia" w:eastAsiaTheme="minorEastAsia"/>
                <w:bCs/>
                <w:szCs w:val="21"/>
              </w:rPr>
              <w:t>培养学前教育专业综合素质</w:t>
            </w:r>
          </w:p>
          <w:p w14:paraId="532F5222">
            <w:pPr>
              <w:rPr>
                <w:rFonts w:hint="eastAsia" w:asciiTheme="minorEastAsia" w:hAnsiTheme="minorEastAsia" w:eastAsiaTheme="minorEastAsia"/>
                <w:bCs/>
                <w:szCs w:val="21"/>
              </w:rPr>
            </w:pPr>
            <w:r>
              <w:rPr>
                <w:rFonts w:hint="eastAsia" w:asciiTheme="minorEastAsia" w:hAnsiTheme="minorEastAsia" w:eastAsiaTheme="minorEastAsia"/>
                <w:bCs/>
                <w:szCs w:val="21"/>
                <w:lang w:val="en-US" w:eastAsia="zh-CN"/>
              </w:rPr>
              <w:t>3.</w:t>
            </w:r>
            <w:r>
              <w:rPr>
                <w:rFonts w:hint="eastAsia" w:asciiTheme="minorEastAsia" w:hAnsiTheme="minorEastAsia" w:eastAsiaTheme="minorEastAsia"/>
                <w:bCs/>
                <w:szCs w:val="21"/>
              </w:rPr>
              <w:t>激发热爱学前教育专业情感。</w:t>
            </w:r>
          </w:p>
        </w:tc>
        <w:tc>
          <w:tcPr>
            <w:tcW w:w="1924" w:type="dxa"/>
            <w:vAlign w:val="center"/>
          </w:tcPr>
          <w:p w14:paraId="354A092F">
            <w:pPr>
              <w:rPr>
                <w:rFonts w:hint="eastAsia" w:asciiTheme="minorEastAsia" w:hAnsiTheme="minorEastAsia" w:eastAsiaTheme="minorEastAsia"/>
                <w:bCs/>
                <w:szCs w:val="21"/>
              </w:rPr>
            </w:pPr>
            <w:r>
              <w:rPr>
                <w:rFonts w:hint="eastAsia" w:asciiTheme="minorEastAsia" w:hAnsiTheme="minorEastAsia" w:eastAsiaTheme="minorEastAsia"/>
                <w:bCs/>
                <w:szCs w:val="21"/>
              </w:rPr>
              <w:t>1</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一日生活充满伦理的意味。</w:t>
            </w:r>
          </w:p>
          <w:p w14:paraId="3571BF90">
            <w:pPr>
              <w:rPr>
                <w:rFonts w:hint="eastAsia" w:asciiTheme="minorEastAsia" w:hAnsiTheme="minorEastAsia" w:eastAsiaTheme="minorEastAsia"/>
                <w:bCs/>
                <w:szCs w:val="21"/>
              </w:rPr>
            </w:pPr>
            <w:r>
              <w:rPr>
                <w:rFonts w:hint="eastAsia" w:asciiTheme="minorEastAsia" w:hAnsiTheme="minorEastAsia" w:eastAsiaTheme="minorEastAsia"/>
                <w:bCs/>
                <w:szCs w:val="21"/>
              </w:rPr>
              <w:t>2</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幼儿园环境创设的综合理解。</w:t>
            </w:r>
          </w:p>
          <w:p w14:paraId="20AC6EC8">
            <w:pPr>
              <w:rPr>
                <w:rFonts w:hint="eastAsia" w:asciiTheme="minorEastAsia" w:hAnsiTheme="minorEastAsia" w:eastAsiaTheme="minorEastAsia"/>
                <w:bCs/>
                <w:szCs w:val="21"/>
              </w:rPr>
            </w:pPr>
            <w:r>
              <w:rPr>
                <w:rFonts w:hint="eastAsia" w:asciiTheme="minorEastAsia" w:hAnsiTheme="minorEastAsia" w:eastAsiaTheme="minorEastAsia"/>
                <w:bCs/>
                <w:szCs w:val="21"/>
              </w:rPr>
              <w:t>3</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进一步关注幼儿园环境中的材料。</w:t>
            </w:r>
          </w:p>
          <w:p w14:paraId="224877D4">
            <w:pPr>
              <w:rPr>
                <w:rFonts w:hint="eastAsia" w:asciiTheme="minorEastAsia" w:hAnsiTheme="minorEastAsia" w:eastAsiaTheme="minorEastAsia"/>
                <w:bCs/>
                <w:szCs w:val="21"/>
              </w:rPr>
            </w:pPr>
            <w:r>
              <w:rPr>
                <w:rFonts w:hint="eastAsia" w:asciiTheme="minorEastAsia" w:hAnsiTheme="minorEastAsia" w:eastAsiaTheme="minorEastAsia"/>
                <w:bCs/>
                <w:szCs w:val="21"/>
              </w:rPr>
              <w:t>4</w:t>
            </w: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关注五大领域与幼儿园课程的关系。</w:t>
            </w:r>
          </w:p>
        </w:tc>
      </w:tr>
    </w:tbl>
    <w:p w14:paraId="56E2A320">
      <w:pPr>
        <w:widowControl/>
        <w:numPr>
          <w:ilvl w:val="0"/>
          <w:numId w:val="0"/>
        </w:numPr>
        <w:spacing w:before="156" w:beforeLines="50" w:after="156" w:afterLines="50" w:line="288" w:lineRule="auto"/>
        <w:jc w:val="left"/>
        <w:rPr>
          <w:rFonts w:hint="eastAsia" w:ascii="黑体" w:hAnsi="宋体" w:eastAsia="黑体"/>
          <w:sz w:val="24"/>
          <w:lang w:val="en-US" w:eastAsia="zh-CN"/>
        </w:rPr>
      </w:pPr>
    </w:p>
    <w:p w14:paraId="27E6FF11">
      <w:pPr>
        <w:widowControl/>
        <w:numPr>
          <w:ilvl w:val="0"/>
          <w:numId w:val="0"/>
        </w:numPr>
        <w:spacing w:before="156" w:beforeLines="50" w:after="156" w:afterLines="50" w:line="288" w:lineRule="auto"/>
        <w:jc w:val="left"/>
        <w:rPr>
          <w:rFonts w:hint="eastAsia" w:ascii="黑体" w:hAnsi="宋体" w:eastAsia="黑体"/>
          <w:sz w:val="24"/>
          <w:lang w:val="en-US" w:eastAsia="zh-CN"/>
        </w:rPr>
      </w:pPr>
    </w:p>
    <w:p w14:paraId="007F8848">
      <w:pPr>
        <w:widowControl/>
        <w:numPr>
          <w:ilvl w:val="0"/>
          <w:numId w:val="0"/>
        </w:numPr>
        <w:spacing w:before="156" w:beforeLines="50" w:after="156" w:afterLines="50" w:line="288" w:lineRule="auto"/>
        <w:ind w:firstLine="240" w:firstLineChars="100"/>
        <w:jc w:val="left"/>
        <w:rPr>
          <w:rFonts w:hint="eastAsia"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评价方式与成绩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746"/>
        <w:gridCol w:w="3224"/>
        <w:gridCol w:w="2"/>
        <w:gridCol w:w="2485"/>
      </w:tblGrid>
      <w:tr w14:paraId="3FE4E8F0">
        <w:trPr>
          <w:trHeight w:val="486" w:hRule="atLeast"/>
        </w:trPr>
        <w:tc>
          <w:tcPr>
            <w:tcW w:w="1065" w:type="dxa"/>
          </w:tcPr>
          <w:p w14:paraId="2AF659C0">
            <w:pPr>
              <w:widowControl/>
              <w:numPr>
                <w:ilvl w:val="0"/>
                <w:numId w:val="0"/>
              </w:numPr>
              <w:spacing w:before="156" w:beforeLines="50" w:after="156" w:afterLines="50" w:line="288" w:lineRule="auto"/>
              <w:jc w:val="left"/>
              <w:rPr>
                <w:rFonts w:hint="eastAsia" w:ascii="黑体" w:hAnsi="宋体" w:eastAsia="黑体"/>
                <w:sz w:val="24"/>
                <w:szCs w:val="24"/>
                <w:vertAlign w:val="baseline"/>
                <w:lang w:val="en-US" w:eastAsia="zh-CN"/>
              </w:rPr>
            </w:pPr>
            <w:r>
              <w:rPr>
                <w:rFonts w:hint="eastAsia" w:ascii="黑体" w:hAnsi="宋体" w:eastAsia="黑体"/>
                <w:sz w:val="24"/>
                <w:szCs w:val="24"/>
                <w:vertAlign w:val="baseline"/>
                <w:lang w:val="en-US" w:eastAsia="zh-CN"/>
              </w:rPr>
              <w:t>学期</w:t>
            </w:r>
          </w:p>
        </w:tc>
        <w:tc>
          <w:tcPr>
            <w:tcW w:w="7457" w:type="dxa"/>
            <w:gridSpan w:val="4"/>
          </w:tcPr>
          <w:p w14:paraId="005BE11E">
            <w:pPr>
              <w:widowControl/>
              <w:numPr>
                <w:ilvl w:val="0"/>
                <w:numId w:val="0"/>
              </w:numPr>
              <w:tabs>
                <w:tab w:val="left" w:pos="2898"/>
              </w:tabs>
              <w:spacing w:before="156" w:beforeLines="50" w:after="156" w:afterLines="50" w:line="288" w:lineRule="auto"/>
              <w:jc w:val="left"/>
              <w:rPr>
                <w:rFonts w:hint="default" w:ascii="黑体" w:hAnsi="宋体" w:eastAsia="黑体"/>
                <w:sz w:val="24"/>
                <w:szCs w:val="24"/>
                <w:vertAlign w:val="baseline"/>
                <w:lang w:val="en-US" w:eastAsia="zh-CN"/>
              </w:rPr>
            </w:pPr>
            <w:r>
              <w:rPr>
                <w:rFonts w:hint="eastAsia" w:ascii="黑体" w:hAnsi="宋体" w:eastAsia="黑体"/>
                <w:sz w:val="24"/>
                <w:szCs w:val="24"/>
                <w:vertAlign w:val="baseline"/>
                <w:lang w:eastAsia="zh-CN"/>
              </w:rPr>
              <w:tab/>
            </w:r>
            <w:r>
              <w:rPr>
                <w:rFonts w:hint="eastAsia" w:ascii="黑体" w:hAnsi="宋体" w:eastAsia="黑体"/>
                <w:sz w:val="24"/>
                <w:szCs w:val="24"/>
                <w:vertAlign w:val="baseline"/>
                <w:lang w:val="en-US" w:eastAsia="zh-CN"/>
              </w:rPr>
              <w:t>评价方式与成绩</w:t>
            </w:r>
          </w:p>
        </w:tc>
      </w:tr>
      <w:tr w14:paraId="0F6619AB">
        <w:trPr>
          <w:trHeight w:val="169" w:hRule="atLeast"/>
        </w:trPr>
        <w:tc>
          <w:tcPr>
            <w:tcW w:w="1065" w:type="dxa"/>
            <w:vMerge w:val="restart"/>
          </w:tcPr>
          <w:p w14:paraId="31F9B401">
            <w:pPr>
              <w:widowControl/>
              <w:numPr>
                <w:ilvl w:val="0"/>
                <w:numId w:val="0"/>
              </w:numPr>
              <w:spacing w:before="156" w:beforeLines="50" w:after="156" w:afterLines="50" w:line="288" w:lineRule="auto"/>
              <w:jc w:val="left"/>
              <w:rPr>
                <w:rFonts w:hint="default" w:ascii="宋体" w:hAnsi="宋体"/>
                <w:bCs/>
                <w:color w:val="000000"/>
                <w:szCs w:val="20"/>
                <w:highlight w:val="none"/>
                <w:lang w:val="en-US" w:eastAsia="zh-CN"/>
              </w:rPr>
            </w:pPr>
            <w:r>
              <w:rPr>
                <w:rFonts w:hint="eastAsia" w:ascii="宋体" w:hAnsi="宋体"/>
                <w:bCs/>
                <w:color w:val="000000"/>
                <w:szCs w:val="20"/>
                <w:highlight w:val="none"/>
                <w:lang w:val="en-US" w:eastAsia="zh-CN"/>
              </w:rPr>
              <w:t>第五学期</w:t>
            </w:r>
          </w:p>
        </w:tc>
        <w:tc>
          <w:tcPr>
            <w:tcW w:w="1746" w:type="dxa"/>
            <w:vAlign w:val="top"/>
          </w:tcPr>
          <w:p w14:paraId="207120F5">
            <w:pPr>
              <w:snapToGrid w:val="0"/>
              <w:spacing w:beforeLines="50" w:afterLines="50"/>
              <w:rPr>
                <w:rFonts w:hint="eastAsia" w:ascii="宋体" w:hAnsi="宋体" w:eastAsia="宋体" w:cs="Times New Roman"/>
                <w:bCs/>
                <w:color w:val="000000"/>
                <w:kern w:val="2"/>
                <w:sz w:val="21"/>
                <w:szCs w:val="20"/>
                <w:highlight w:val="none"/>
                <w:lang w:val="en-US" w:eastAsia="zh-CN" w:bidi="ar-SA"/>
              </w:rPr>
            </w:pPr>
            <w:r>
              <w:rPr>
                <w:rFonts w:hint="eastAsia" w:ascii="宋体" w:hAnsi="宋体"/>
                <w:bCs/>
                <w:color w:val="000000"/>
                <w:szCs w:val="20"/>
              </w:rPr>
              <w:t>总评构成（</w:t>
            </w:r>
            <w:r>
              <w:rPr>
                <w:rFonts w:hint="eastAsia" w:ascii="宋体" w:hAnsi="宋体"/>
                <w:bCs/>
                <w:color w:val="000000"/>
                <w:szCs w:val="20"/>
                <w:lang w:val="en-US" w:eastAsia="zh-CN"/>
              </w:rPr>
              <w:t>3</w:t>
            </w:r>
            <w:r>
              <w:rPr>
                <w:rFonts w:ascii="宋体" w:hAnsi="宋体"/>
                <w:bCs/>
                <w:color w:val="000000"/>
                <w:szCs w:val="20"/>
              </w:rPr>
              <w:t>X</w:t>
            </w:r>
            <w:r>
              <w:rPr>
                <w:rFonts w:hint="eastAsia" w:ascii="宋体" w:hAnsi="宋体"/>
                <w:bCs/>
                <w:color w:val="000000"/>
                <w:szCs w:val="20"/>
              </w:rPr>
              <w:t>）</w:t>
            </w:r>
          </w:p>
        </w:tc>
        <w:tc>
          <w:tcPr>
            <w:tcW w:w="3224" w:type="dxa"/>
            <w:vAlign w:val="top"/>
          </w:tcPr>
          <w:p w14:paraId="1E34CDF1">
            <w:pPr>
              <w:snapToGrid w:val="0"/>
              <w:spacing w:beforeLines="50" w:afterLines="50"/>
              <w:jc w:val="center"/>
              <w:rPr>
                <w:rFonts w:hint="eastAsia" w:ascii="宋体" w:hAnsi="宋体" w:eastAsia="宋体" w:cs="Times New Roman"/>
                <w:bCs/>
                <w:color w:val="000000"/>
                <w:kern w:val="2"/>
                <w:sz w:val="21"/>
                <w:szCs w:val="20"/>
                <w:highlight w:val="none"/>
                <w:lang w:val="en-US" w:eastAsia="zh-CN" w:bidi="ar-SA"/>
              </w:rPr>
            </w:pPr>
            <w:r>
              <w:rPr>
                <w:rFonts w:hint="eastAsia" w:ascii="宋体" w:hAnsi="宋体"/>
                <w:bCs/>
                <w:color w:val="000000"/>
                <w:szCs w:val="20"/>
              </w:rPr>
              <w:t>评价方式</w:t>
            </w:r>
          </w:p>
        </w:tc>
        <w:tc>
          <w:tcPr>
            <w:tcW w:w="2487" w:type="dxa"/>
            <w:gridSpan w:val="2"/>
            <w:vAlign w:val="top"/>
          </w:tcPr>
          <w:p w14:paraId="53C4ED4C">
            <w:pPr>
              <w:snapToGrid w:val="0"/>
              <w:spacing w:beforeLines="50" w:afterLines="50"/>
              <w:jc w:val="center"/>
              <w:rPr>
                <w:rFonts w:hint="eastAsia" w:ascii="宋体" w:hAnsi="宋体" w:eastAsia="宋体" w:cs="Times New Roman"/>
                <w:bCs/>
                <w:color w:val="000000"/>
                <w:kern w:val="2"/>
                <w:sz w:val="21"/>
                <w:szCs w:val="20"/>
                <w:highlight w:val="none"/>
                <w:lang w:val="en-US" w:eastAsia="zh-CN" w:bidi="ar-SA"/>
              </w:rPr>
            </w:pPr>
            <w:r>
              <w:rPr>
                <w:rFonts w:hint="eastAsia" w:ascii="宋体" w:hAnsi="宋体"/>
                <w:bCs/>
                <w:color w:val="000000"/>
                <w:szCs w:val="20"/>
                <w:highlight w:val="none"/>
              </w:rPr>
              <w:t>占比</w:t>
            </w:r>
          </w:p>
        </w:tc>
      </w:tr>
      <w:tr w14:paraId="46F67031">
        <w:trPr>
          <w:trHeight w:val="169" w:hRule="atLeast"/>
        </w:trPr>
        <w:tc>
          <w:tcPr>
            <w:tcW w:w="1065" w:type="dxa"/>
            <w:vMerge w:val="continue"/>
          </w:tcPr>
          <w:p w14:paraId="59F4A050">
            <w:pPr>
              <w:widowControl/>
              <w:spacing w:before="156" w:beforeLines="50" w:after="156" w:afterLines="50" w:line="288" w:lineRule="auto"/>
              <w:jc w:val="left"/>
            </w:pPr>
          </w:p>
        </w:tc>
        <w:tc>
          <w:tcPr>
            <w:tcW w:w="1746" w:type="dxa"/>
            <w:vAlign w:val="top"/>
          </w:tcPr>
          <w:p w14:paraId="7F8BC84E">
            <w:pPr>
              <w:snapToGrid w:val="0"/>
              <w:spacing w:before="156" w:beforeLines="50" w:after="156" w:afterLines="50"/>
              <w:jc w:val="center"/>
              <w:rPr>
                <w:rFonts w:ascii="Calibri" w:hAnsi="Calibri" w:eastAsia="宋体" w:cs="Times New Roman"/>
                <w:kern w:val="2"/>
                <w:sz w:val="21"/>
                <w:szCs w:val="22"/>
                <w:lang w:val="en-US" w:eastAsia="zh-CN" w:bidi="ar-SA"/>
              </w:rPr>
            </w:pPr>
            <w:r>
              <w:rPr>
                <w:rFonts w:hint="eastAsia" w:ascii="宋体" w:hAnsi="宋体"/>
                <w:bCs/>
                <w:color w:val="000000"/>
                <w:szCs w:val="20"/>
              </w:rPr>
              <w:t>X1</w:t>
            </w:r>
          </w:p>
        </w:tc>
        <w:tc>
          <w:tcPr>
            <w:tcW w:w="3224" w:type="dxa"/>
            <w:vAlign w:val="top"/>
          </w:tcPr>
          <w:p w14:paraId="6884058D">
            <w:pPr>
              <w:snapToGrid w:val="0"/>
              <w:spacing w:before="156" w:beforeLines="50" w:after="156" w:afterLines="50"/>
              <w:jc w:val="center"/>
              <w:rPr>
                <w:rFonts w:hint="default" w:ascii="Calibri" w:hAnsi="Calibri" w:eastAsia="宋体" w:cs="Times New Roman"/>
                <w:kern w:val="2"/>
                <w:sz w:val="21"/>
                <w:szCs w:val="22"/>
                <w:lang w:val="en-US" w:eastAsia="zh-CN" w:bidi="ar-SA"/>
              </w:rPr>
            </w:pPr>
            <w:r>
              <w:rPr>
                <w:rFonts w:hint="eastAsia"/>
              </w:rPr>
              <w:t>常规执行和任务完成状况</w:t>
            </w:r>
          </w:p>
        </w:tc>
        <w:tc>
          <w:tcPr>
            <w:tcW w:w="2487" w:type="dxa"/>
            <w:gridSpan w:val="2"/>
            <w:vAlign w:val="top"/>
          </w:tcPr>
          <w:p w14:paraId="328D8AC3">
            <w:pPr>
              <w:snapToGrid w:val="0"/>
              <w:spacing w:before="156" w:beforeLines="50" w:after="156" w:afterLines="50"/>
              <w:jc w:val="center"/>
              <w:rPr>
                <w:rFonts w:hint="eastAsia" w:ascii="宋体" w:hAnsi="宋体" w:eastAsia="宋体" w:cs="Times New Roman"/>
                <w:bCs/>
                <w:color w:val="000000"/>
                <w:kern w:val="2"/>
                <w:sz w:val="21"/>
                <w:szCs w:val="20"/>
                <w:highlight w:val="none"/>
                <w:lang w:val="en-US" w:eastAsia="zh-CN" w:bidi="ar-SA"/>
              </w:rPr>
            </w:pPr>
            <w:r>
              <w:rPr>
                <w:rFonts w:ascii="宋体" w:hAnsi="宋体"/>
                <w:bCs/>
                <w:color w:val="000000"/>
                <w:szCs w:val="20"/>
              </w:rPr>
              <w:t>40</w:t>
            </w:r>
            <w:r>
              <w:rPr>
                <w:rFonts w:hint="eastAsia" w:ascii="宋体" w:hAnsi="宋体"/>
                <w:bCs/>
                <w:color w:val="000000"/>
                <w:szCs w:val="20"/>
              </w:rPr>
              <w:t>%</w:t>
            </w:r>
          </w:p>
        </w:tc>
      </w:tr>
      <w:tr w14:paraId="106A9AFB">
        <w:trPr>
          <w:trHeight w:val="169" w:hRule="atLeast"/>
        </w:trPr>
        <w:tc>
          <w:tcPr>
            <w:tcW w:w="1065" w:type="dxa"/>
            <w:vMerge w:val="continue"/>
          </w:tcPr>
          <w:p w14:paraId="545791C0">
            <w:pPr>
              <w:widowControl/>
              <w:spacing w:before="156" w:beforeLines="50" w:after="156" w:afterLines="50" w:line="288" w:lineRule="auto"/>
              <w:jc w:val="left"/>
              <w:rPr>
                <w:rFonts w:hint="eastAsia" w:ascii="黑体" w:hAnsi="宋体" w:eastAsia="黑体"/>
                <w:sz w:val="24"/>
                <w:vertAlign w:val="baseline"/>
              </w:rPr>
            </w:pPr>
          </w:p>
        </w:tc>
        <w:tc>
          <w:tcPr>
            <w:tcW w:w="1746" w:type="dxa"/>
            <w:vAlign w:val="top"/>
          </w:tcPr>
          <w:p w14:paraId="24AEBEB6">
            <w:pPr>
              <w:snapToGrid w:val="0"/>
              <w:spacing w:before="156" w:beforeLines="50" w:after="156" w:afterLines="50"/>
              <w:jc w:val="center"/>
              <w:rPr>
                <w:rFonts w:hint="eastAsia" w:ascii="黑体" w:hAnsi="宋体" w:eastAsia="黑体" w:cs="Times New Roman"/>
                <w:kern w:val="2"/>
                <w:sz w:val="24"/>
                <w:szCs w:val="22"/>
                <w:vertAlign w:val="baseline"/>
                <w:lang w:val="en-US" w:eastAsia="zh-CN" w:bidi="ar-SA"/>
              </w:rPr>
            </w:pPr>
            <w:r>
              <w:rPr>
                <w:rFonts w:hint="eastAsia" w:ascii="宋体" w:hAnsi="宋体"/>
                <w:bCs/>
                <w:color w:val="000000"/>
                <w:szCs w:val="20"/>
              </w:rPr>
              <w:t>X2</w:t>
            </w:r>
          </w:p>
        </w:tc>
        <w:tc>
          <w:tcPr>
            <w:tcW w:w="3224" w:type="dxa"/>
            <w:vAlign w:val="top"/>
          </w:tcPr>
          <w:p w14:paraId="64D2DBC9">
            <w:pPr>
              <w:snapToGrid w:val="0"/>
              <w:spacing w:before="156" w:beforeLines="50" w:after="156" w:afterLines="50"/>
              <w:jc w:val="center"/>
              <w:rPr>
                <w:rFonts w:hint="default" w:ascii="宋体" w:hAnsi="宋体" w:eastAsia="宋体" w:cs="Times New Roman"/>
                <w:bCs/>
                <w:color w:val="000000"/>
                <w:kern w:val="2"/>
                <w:sz w:val="21"/>
                <w:szCs w:val="20"/>
                <w:highlight w:val="none"/>
                <w:lang w:val="en-US" w:eastAsia="zh-CN" w:bidi="ar-SA"/>
              </w:rPr>
            </w:pPr>
            <w:r>
              <w:rPr>
                <w:rFonts w:hint="eastAsia" w:ascii="宋体" w:hAnsi="宋体" w:cs="Times New Roman"/>
                <w:bCs/>
                <w:color w:val="000000"/>
                <w:kern w:val="2"/>
                <w:sz w:val="21"/>
                <w:szCs w:val="20"/>
                <w:highlight w:val="none"/>
                <w:lang w:val="en-US" w:eastAsia="zh-CN" w:bidi="ar-SA"/>
              </w:rPr>
              <w:t>专业实践记录手册</w:t>
            </w:r>
          </w:p>
        </w:tc>
        <w:tc>
          <w:tcPr>
            <w:tcW w:w="2487" w:type="dxa"/>
            <w:gridSpan w:val="2"/>
            <w:vAlign w:val="top"/>
          </w:tcPr>
          <w:p w14:paraId="0149E08A">
            <w:pPr>
              <w:snapToGrid w:val="0"/>
              <w:spacing w:before="156" w:beforeLines="50" w:after="156" w:afterLines="50"/>
              <w:jc w:val="center"/>
              <w:rPr>
                <w:rFonts w:hint="eastAsia" w:ascii="宋体" w:hAnsi="宋体" w:eastAsia="宋体" w:cs="Times New Roman"/>
                <w:bCs/>
                <w:color w:val="000000"/>
                <w:kern w:val="2"/>
                <w:sz w:val="21"/>
                <w:szCs w:val="20"/>
                <w:highlight w:val="none"/>
                <w:lang w:val="en-US" w:eastAsia="zh-CN" w:bidi="ar-SA"/>
              </w:rPr>
            </w:pPr>
            <w:r>
              <w:rPr>
                <w:rFonts w:hint="eastAsia" w:ascii="宋体" w:hAnsi="宋体"/>
                <w:bCs/>
                <w:color w:val="000000"/>
                <w:szCs w:val="20"/>
                <w:lang w:val="en-US" w:eastAsia="zh-CN"/>
              </w:rPr>
              <w:t>3</w:t>
            </w:r>
            <w:r>
              <w:rPr>
                <w:rFonts w:hint="eastAsia" w:ascii="宋体" w:hAnsi="宋体"/>
                <w:bCs/>
                <w:color w:val="000000"/>
                <w:szCs w:val="20"/>
              </w:rPr>
              <w:t>5%</w:t>
            </w:r>
          </w:p>
        </w:tc>
      </w:tr>
      <w:tr w14:paraId="3B40E090">
        <w:trPr>
          <w:trHeight w:val="169" w:hRule="atLeast"/>
        </w:trPr>
        <w:tc>
          <w:tcPr>
            <w:tcW w:w="1065" w:type="dxa"/>
            <w:vMerge w:val="continue"/>
          </w:tcPr>
          <w:p w14:paraId="1337A4E8">
            <w:pPr>
              <w:widowControl/>
              <w:spacing w:before="156" w:beforeLines="50" w:after="156" w:afterLines="50" w:line="288" w:lineRule="auto"/>
              <w:jc w:val="left"/>
              <w:rPr>
                <w:rFonts w:hint="eastAsia" w:ascii="黑体" w:hAnsi="宋体" w:eastAsia="黑体"/>
                <w:sz w:val="24"/>
                <w:vertAlign w:val="baseline"/>
              </w:rPr>
            </w:pPr>
          </w:p>
        </w:tc>
        <w:tc>
          <w:tcPr>
            <w:tcW w:w="1746" w:type="dxa"/>
            <w:vAlign w:val="top"/>
          </w:tcPr>
          <w:p w14:paraId="515F04DA">
            <w:pPr>
              <w:snapToGrid w:val="0"/>
              <w:spacing w:before="156" w:beforeLines="50" w:after="156" w:afterLines="50"/>
              <w:jc w:val="center"/>
              <w:rPr>
                <w:rFonts w:hint="eastAsia" w:ascii="黑体" w:hAnsi="宋体" w:eastAsia="黑体" w:cs="Times New Roman"/>
                <w:kern w:val="2"/>
                <w:sz w:val="24"/>
                <w:szCs w:val="22"/>
                <w:vertAlign w:val="baseline"/>
                <w:lang w:val="en-US" w:eastAsia="zh-CN" w:bidi="ar-SA"/>
              </w:rPr>
            </w:pPr>
            <w:r>
              <w:rPr>
                <w:rFonts w:hint="eastAsia" w:ascii="宋体" w:hAnsi="宋体"/>
                <w:bCs/>
                <w:color w:val="000000"/>
                <w:szCs w:val="20"/>
              </w:rPr>
              <w:t>X3</w:t>
            </w:r>
          </w:p>
        </w:tc>
        <w:tc>
          <w:tcPr>
            <w:tcW w:w="3224" w:type="dxa"/>
            <w:vAlign w:val="top"/>
          </w:tcPr>
          <w:p w14:paraId="39AE1620">
            <w:pPr>
              <w:snapToGrid w:val="0"/>
              <w:spacing w:before="156" w:beforeLines="50" w:after="156" w:afterLines="50"/>
              <w:jc w:val="center"/>
              <w:rPr>
                <w:rFonts w:hint="default" w:ascii="宋体" w:hAnsi="宋体" w:eastAsia="宋体" w:cs="Times New Roman"/>
                <w:bCs/>
                <w:color w:val="000000"/>
                <w:kern w:val="2"/>
                <w:sz w:val="21"/>
                <w:szCs w:val="20"/>
                <w:highlight w:val="none"/>
                <w:lang w:val="en-US" w:eastAsia="zh-CN" w:bidi="ar-SA"/>
              </w:rPr>
            </w:pPr>
            <w:r>
              <w:rPr>
                <w:rFonts w:hint="eastAsia" w:ascii="宋体" w:hAnsi="宋体"/>
                <w:bCs/>
                <w:color w:val="000000"/>
                <w:szCs w:val="20"/>
                <w:lang w:val="en-US" w:eastAsia="zh-CN"/>
              </w:rPr>
              <w:t>总结</w:t>
            </w:r>
            <w:r>
              <w:rPr>
                <w:rFonts w:hint="eastAsia" w:ascii="宋体" w:hAnsi="宋体"/>
                <w:bCs/>
                <w:color w:val="000000"/>
                <w:szCs w:val="20"/>
              </w:rPr>
              <w:t>报告</w:t>
            </w:r>
          </w:p>
        </w:tc>
        <w:tc>
          <w:tcPr>
            <w:tcW w:w="2487" w:type="dxa"/>
            <w:gridSpan w:val="2"/>
            <w:vAlign w:val="top"/>
          </w:tcPr>
          <w:p w14:paraId="37045EFB">
            <w:pPr>
              <w:snapToGrid w:val="0"/>
              <w:spacing w:before="156" w:beforeLines="50" w:after="156" w:afterLines="50"/>
              <w:jc w:val="center"/>
              <w:rPr>
                <w:rFonts w:hint="eastAsia" w:ascii="宋体" w:hAnsi="宋体" w:eastAsia="宋体" w:cs="Times New Roman"/>
                <w:bCs/>
                <w:color w:val="000000"/>
                <w:kern w:val="2"/>
                <w:sz w:val="21"/>
                <w:szCs w:val="20"/>
                <w:highlight w:val="none"/>
                <w:lang w:val="en-US" w:eastAsia="zh-CN" w:bidi="ar-SA"/>
              </w:rPr>
            </w:pPr>
            <w:r>
              <w:rPr>
                <w:rFonts w:hint="eastAsia" w:ascii="宋体" w:hAnsi="宋体"/>
                <w:bCs/>
                <w:color w:val="000000"/>
                <w:szCs w:val="20"/>
                <w:lang w:val="en-US" w:eastAsia="zh-CN"/>
              </w:rPr>
              <w:t>2</w:t>
            </w:r>
            <w:r>
              <w:rPr>
                <w:rFonts w:ascii="宋体" w:hAnsi="宋体"/>
                <w:bCs/>
                <w:color w:val="000000"/>
                <w:szCs w:val="20"/>
              </w:rPr>
              <w:t>5</w:t>
            </w:r>
            <w:r>
              <w:rPr>
                <w:rFonts w:hint="eastAsia" w:ascii="宋体" w:hAnsi="宋体"/>
                <w:bCs/>
                <w:color w:val="000000"/>
                <w:szCs w:val="20"/>
              </w:rPr>
              <w:t>%</w:t>
            </w:r>
          </w:p>
        </w:tc>
      </w:tr>
      <w:tr w14:paraId="55227D49">
        <w:trPr>
          <w:trHeight w:val="171" w:hRule="atLeast"/>
        </w:trPr>
        <w:tc>
          <w:tcPr>
            <w:tcW w:w="1065" w:type="dxa"/>
            <w:vMerge w:val="restart"/>
          </w:tcPr>
          <w:p w14:paraId="6AE18B78">
            <w:pPr>
              <w:widowControl/>
              <w:numPr>
                <w:ilvl w:val="0"/>
                <w:numId w:val="0"/>
              </w:numPr>
              <w:spacing w:before="156" w:beforeLines="50" w:after="156" w:afterLines="50" w:line="288" w:lineRule="auto"/>
              <w:jc w:val="left"/>
              <w:rPr>
                <w:rFonts w:hint="default" w:ascii="宋体" w:hAnsi="宋体"/>
                <w:bCs/>
                <w:color w:val="000000"/>
                <w:szCs w:val="20"/>
                <w:highlight w:val="none"/>
                <w:lang w:val="en-US" w:eastAsia="zh-CN"/>
              </w:rPr>
            </w:pPr>
            <w:r>
              <w:rPr>
                <w:rFonts w:hint="eastAsia" w:ascii="宋体" w:hAnsi="宋体"/>
                <w:bCs/>
                <w:color w:val="000000"/>
                <w:szCs w:val="20"/>
                <w:highlight w:val="none"/>
                <w:lang w:val="en-US" w:eastAsia="zh-CN"/>
              </w:rPr>
              <w:t>第六学期</w:t>
            </w:r>
          </w:p>
        </w:tc>
        <w:tc>
          <w:tcPr>
            <w:tcW w:w="1746" w:type="dxa"/>
            <w:vAlign w:val="top"/>
          </w:tcPr>
          <w:p w14:paraId="7EADD17E">
            <w:pPr>
              <w:snapToGrid w:val="0"/>
              <w:spacing w:beforeLines="50" w:afterLines="50"/>
              <w:rPr>
                <w:rFonts w:hint="eastAsia" w:ascii="宋体" w:hAnsi="宋体" w:eastAsia="宋体" w:cs="Times New Roman"/>
                <w:bCs/>
                <w:color w:val="000000"/>
                <w:kern w:val="2"/>
                <w:sz w:val="21"/>
                <w:szCs w:val="20"/>
                <w:highlight w:val="none"/>
                <w:lang w:val="en-US" w:eastAsia="zh-CN" w:bidi="ar-SA"/>
              </w:rPr>
            </w:pPr>
            <w:r>
              <w:rPr>
                <w:rFonts w:hint="eastAsia" w:ascii="宋体" w:hAnsi="宋体"/>
                <w:bCs/>
                <w:color w:val="000000"/>
                <w:szCs w:val="20"/>
              </w:rPr>
              <w:t>总评构成（</w:t>
            </w:r>
            <w:r>
              <w:rPr>
                <w:rFonts w:hint="eastAsia" w:ascii="宋体" w:hAnsi="宋体"/>
                <w:bCs/>
                <w:color w:val="000000"/>
                <w:szCs w:val="20"/>
                <w:lang w:val="en-US" w:eastAsia="zh-CN"/>
              </w:rPr>
              <w:t>3</w:t>
            </w:r>
            <w:r>
              <w:rPr>
                <w:rFonts w:ascii="宋体" w:hAnsi="宋体"/>
                <w:bCs/>
                <w:color w:val="000000"/>
                <w:szCs w:val="20"/>
              </w:rPr>
              <w:t>X</w:t>
            </w:r>
            <w:r>
              <w:rPr>
                <w:rFonts w:hint="eastAsia" w:ascii="宋体" w:hAnsi="宋体"/>
                <w:bCs/>
                <w:color w:val="000000"/>
                <w:szCs w:val="20"/>
              </w:rPr>
              <w:t>）</w:t>
            </w:r>
          </w:p>
        </w:tc>
        <w:tc>
          <w:tcPr>
            <w:tcW w:w="3226" w:type="dxa"/>
            <w:gridSpan w:val="2"/>
            <w:vAlign w:val="top"/>
          </w:tcPr>
          <w:p w14:paraId="6BAA78F8">
            <w:pPr>
              <w:snapToGrid w:val="0"/>
              <w:spacing w:beforeLines="50" w:afterLines="50"/>
              <w:jc w:val="center"/>
              <w:rPr>
                <w:rFonts w:hint="eastAsia" w:ascii="宋体" w:hAnsi="宋体" w:eastAsia="宋体" w:cs="Times New Roman"/>
                <w:bCs/>
                <w:color w:val="000000"/>
                <w:kern w:val="2"/>
                <w:sz w:val="21"/>
                <w:szCs w:val="20"/>
                <w:highlight w:val="none"/>
                <w:lang w:val="en-US" w:eastAsia="zh-CN" w:bidi="ar-SA"/>
              </w:rPr>
            </w:pPr>
            <w:r>
              <w:rPr>
                <w:rFonts w:hint="eastAsia" w:ascii="宋体" w:hAnsi="宋体"/>
                <w:bCs/>
                <w:color w:val="000000"/>
                <w:szCs w:val="20"/>
              </w:rPr>
              <w:t>评价方式</w:t>
            </w:r>
          </w:p>
        </w:tc>
        <w:tc>
          <w:tcPr>
            <w:tcW w:w="2485" w:type="dxa"/>
            <w:vAlign w:val="top"/>
          </w:tcPr>
          <w:p w14:paraId="2CEA23C5">
            <w:pPr>
              <w:snapToGrid w:val="0"/>
              <w:spacing w:beforeLines="50" w:afterLines="50"/>
              <w:jc w:val="center"/>
              <w:rPr>
                <w:rFonts w:hint="eastAsia" w:ascii="宋体" w:hAnsi="宋体" w:eastAsia="宋体" w:cs="Times New Roman"/>
                <w:bCs/>
                <w:color w:val="000000"/>
                <w:kern w:val="2"/>
                <w:sz w:val="21"/>
                <w:szCs w:val="20"/>
                <w:highlight w:val="none"/>
                <w:lang w:val="en-US" w:eastAsia="zh-CN" w:bidi="ar-SA"/>
              </w:rPr>
            </w:pPr>
            <w:r>
              <w:rPr>
                <w:rFonts w:hint="eastAsia" w:ascii="宋体" w:hAnsi="宋体"/>
                <w:bCs/>
                <w:color w:val="000000"/>
                <w:szCs w:val="20"/>
                <w:highlight w:val="none"/>
              </w:rPr>
              <w:t>占比</w:t>
            </w:r>
          </w:p>
        </w:tc>
      </w:tr>
      <w:tr w14:paraId="6DFAE1E7">
        <w:trPr>
          <w:trHeight w:val="171" w:hRule="atLeast"/>
        </w:trPr>
        <w:tc>
          <w:tcPr>
            <w:tcW w:w="1065" w:type="dxa"/>
            <w:vMerge w:val="continue"/>
          </w:tcPr>
          <w:p w14:paraId="46B40A12">
            <w:pPr>
              <w:widowControl/>
              <w:spacing w:before="156" w:beforeLines="50" w:after="156" w:afterLines="50" w:line="288" w:lineRule="auto"/>
              <w:jc w:val="left"/>
            </w:pPr>
          </w:p>
        </w:tc>
        <w:tc>
          <w:tcPr>
            <w:tcW w:w="1746" w:type="dxa"/>
            <w:vAlign w:val="top"/>
          </w:tcPr>
          <w:p w14:paraId="32185A64">
            <w:pPr>
              <w:snapToGrid w:val="0"/>
              <w:spacing w:before="156" w:beforeLines="50" w:after="156" w:afterLines="50"/>
              <w:jc w:val="center"/>
              <w:rPr>
                <w:rFonts w:hint="eastAsia" w:ascii="Calibri" w:hAnsi="Calibri" w:eastAsia="宋体" w:cs="Times New Roman"/>
                <w:kern w:val="2"/>
                <w:sz w:val="21"/>
                <w:szCs w:val="22"/>
                <w:lang w:val="en-US" w:eastAsia="zh-CN" w:bidi="ar-SA"/>
              </w:rPr>
            </w:pPr>
            <w:r>
              <w:rPr>
                <w:rFonts w:hint="eastAsia" w:ascii="宋体" w:hAnsi="宋体"/>
                <w:bCs/>
                <w:color w:val="000000"/>
                <w:szCs w:val="20"/>
              </w:rPr>
              <w:t>X1</w:t>
            </w:r>
          </w:p>
        </w:tc>
        <w:tc>
          <w:tcPr>
            <w:tcW w:w="3226" w:type="dxa"/>
            <w:gridSpan w:val="2"/>
            <w:vAlign w:val="top"/>
          </w:tcPr>
          <w:p w14:paraId="28957CFC">
            <w:pPr>
              <w:snapToGrid w:val="0"/>
              <w:spacing w:before="156" w:beforeLines="50" w:after="156" w:afterLines="50"/>
              <w:jc w:val="center"/>
              <w:rPr>
                <w:rFonts w:hint="eastAsia" w:ascii="Calibri" w:hAnsi="Calibri" w:eastAsia="宋体" w:cs="Times New Roman"/>
                <w:kern w:val="2"/>
                <w:sz w:val="21"/>
                <w:szCs w:val="22"/>
                <w:lang w:val="en-US" w:eastAsia="zh-CN" w:bidi="ar-SA"/>
              </w:rPr>
            </w:pPr>
            <w:r>
              <w:rPr>
                <w:rFonts w:hint="eastAsia"/>
              </w:rPr>
              <w:t>常规执行和任务完成状况</w:t>
            </w:r>
          </w:p>
        </w:tc>
        <w:tc>
          <w:tcPr>
            <w:tcW w:w="2485" w:type="dxa"/>
            <w:vAlign w:val="top"/>
          </w:tcPr>
          <w:p w14:paraId="5C3810E1">
            <w:pPr>
              <w:snapToGrid w:val="0"/>
              <w:spacing w:before="156" w:beforeLines="50" w:after="156" w:afterLines="50"/>
              <w:jc w:val="center"/>
              <w:rPr>
                <w:rFonts w:hint="eastAsia" w:ascii="宋体" w:hAnsi="宋体" w:eastAsia="宋体" w:cs="Times New Roman"/>
                <w:bCs/>
                <w:color w:val="000000"/>
                <w:kern w:val="2"/>
                <w:sz w:val="21"/>
                <w:szCs w:val="20"/>
                <w:highlight w:val="none"/>
                <w:lang w:val="en-US" w:eastAsia="zh-CN" w:bidi="ar-SA"/>
              </w:rPr>
            </w:pPr>
            <w:r>
              <w:rPr>
                <w:rFonts w:ascii="宋体" w:hAnsi="宋体"/>
                <w:bCs/>
                <w:color w:val="000000"/>
                <w:szCs w:val="20"/>
              </w:rPr>
              <w:t>40</w:t>
            </w:r>
            <w:r>
              <w:rPr>
                <w:rFonts w:hint="eastAsia" w:ascii="宋体" w:hAnsi="宋体"/>
                <w:bCs/>
                <w:color w:val="000000"/>
                <w:szCs w:val="20"/>
              </w:rPr>
              <w:t>%</w:t>
            </w:r>
          </w:p>
        </w:tc>
      </w:tr>
      <w:tr w14:paraId="30BA0A0D">
        <w:trPr>
          <w:trHeight w:val="607" w:hRule="atLeast"/>
        </w:trPr>
        <w:tc>
          <w:tcPr>
            <w:tcW w:w="1065" w:type="dxa"/>
            <w:vMerge w:val="continue"/>
          </w:tcPr>
          <w:p w14:paraId="0AC50241">
            <w:pPr>
              <w:widowControl/>
              <w:spacing w:before="156" w:beforeLines="50" w:after="156" w:afterLines="50" w:line="288" w:lineRule="auto"/>
              <w:jc w:val="left"/>
              <w:rPr>
                <w:rFonts w:hint="eastAsia" w:ascii="宋体" w:hAnsi="宋体"/>
                <w:bCs/>
                <w:color w:val="000000"/>
                <w:szCs w:val="20"/>
                <w:highlight w:val="none"/>
                <w:lang w:val="en-US" w:eastAsia="zh-CN"/>
              </w:rPr>
            </w:pPr>
          </w:p>
        </w:tc>
        <w:tc>
          <w:tcPr>
            <w:tcW w:w="1746" w:type="dxa"/>
            <w:vAlign w:val="top"/>
          </w:tcPr>
          <w:p w14:paraId="1816752D">
            <w:pPr>
              <w:snapToGrid w:val="0"/>
              <w:spacing w:before="156" w:beforeLines="50" w:after="156" w:afterLines="50"/>
              <w:jc w:val="center"/>
              <w:rPr>
                <w:rFonts w:hint="eastAsia" w:ascii="黑体" w:hAnsi="宋体" w:eastAsia="黑体" w:cs="Times New Roman"/>
                <w:kern w:val="2"/>
                <w:sz w:val="24"/>
                <w:szCs w:val="22"/>
                <w:vertAlign w:val="baseline"/>
                <w:lang w:val="en-US" w:eastAsia="zh-CN" w:bidi="ar-SA"/>
              </w:rPr>
            </w:pPr>
            <w:r>
              <w:rPr>
                <w:rFonts w:hint="eastAsia" w:ascii="宋体" w:hAnsi="宋体"/>
                <w:bCs/>
                <w:color w:val="000000"/>
                <w:szCs w:val="20"/>
              </w:rPr>
              <w:t>X2</w:t>
            </w:r>
          </w:p>
        </w:tc>
        <w:tc>
          <w:tcPr>
            <w:tcW w:w="3226" w:type="dxa"/>
            <w:gridSpan w:val="2"/>
            <w:vAlign w:val="top"/>
          </w:tcPr>
          <w:p w14:paraId="499112D2">
            <w:pPr>
              <w:snapToGrid w:val="0"/>
              <w:spacing w:before="156" w:beforeLines="50" w:after="156" w:afterLines="50"/>
              <w:jc w:val="center"/>
              <w:rPr>
                <w:rFonts w:hint="default" w:ascii="宋体" w:hAnsi="宋体" w:eastAsia="宋体" w:cs="Times New Roman"/>
                <w:bCs/>
                <w:color w:val="000000"/>
                <w:kern w:val="2"/>
                <w:sz w:val="21"/>
                <w:szCs w:val="20"/>
                <w:highlight w:val="none"/>
                <w:lang w:val="en-US" w:eastAsia="zh-CN" w:bidi="ar-SA"/>
              </w:rPr>
            </w:pPr>
            <w:r>
              <w:rPr>
                <w:rFonts w:hint="eastAsia" w:ascii="宋体" w:hAnsi="宋体"/>
                <w:bCs/>
                <w:color w:val="000000"/>
                <w:szCs w:val="20"/>
                <w:lang w:val="en-US" w:eastAsia="zh-CN"/>
              </w:rPr>
              <w:t>专业实践记录手册</w:t>
            </w:r>
          </w:p>
        </w:tc>
        <w:tc>
          <w:tcPr>
            <w:tcW w:w="2485" w:type="dxa"/>
            <w:vAlign w:val="top"/>
          </w:tcPr>
          <w:p w14:paraId="378A04D3">
            <w:pPr>
              <w:snapToGrid w:val="0"/>
              <w:spacing w:before="156" w:beforeLines="50" w:after="156" w:afterLines="50"/>
              <w:jc w:val="center"/>
              <w:rPr>
                <w:rFonts w:hint="eastAsia" w:ascii="宋体" w:hAnsi="宋体" w:eastAsia="宋体" w:cs="Times New Roman"/>
                <w:bCs/>
                <w:color w:val="000000"/>
                <w:kern w:val="2"/>
                <w:sz w:val="21"/>
                <w:szCs w:val="20"/>
                <w:highlight w:val="none"/>
                <w:lang w:val="en-US" w:eastAsia="zh-CN" w:bidi="ar-SA"/>
              </w:rPr>
            </w:pPr>
            <w:r>
              <w:rPr>
                <w:rFonts w:hint="eastAsia" w:ascii="宋体" w:hAnsi="宋体"/>
                <w:bCs/>
                <w:color w:val="000000"/>
                <w:szCs w:val="20"/>
                <w:lang w:val="en-US" w:eastAsia="zh-CN"/>
              </w:rPr>
              <w:t>3</w:t>
            </w:r>
            <w:r>
              <w:rPr>
                <w:rFonts w:hint="eastAsia" w:ascii="宋体" w:hAnsi="宋体"/>
                <w:bCs/>
                <w:color w:val="000000"/>
                <w:szCs w:val="20"/>
              </w:rPr>
              <w:t>5%</w:t>
            </w:r>
          </w:p>
        </w:tc>
      </w:tr>
      <w:tr w14:paraId="0311BDAB">
        <w:trPr>
          <w:trHeight w:val="505" w:hRule="atLeast"/>
        </w:trPr>
        <w:tc>
          <w:tcPr>
            <w:tcW w:w="1065" w:type="dxa"/>
            <w:vMerge w:val="continue"/>
          </w:tcPr>
          <w:p w14:paraId="6C247440">
            <w:pPr>
              <w:widowControl/>
              <w:spacing w:before="156" w:beforeLines="50" w:after="156" w:afterLines="50" w:line="288" w:lineRule="auto"/>
              <w:jc w:val="left"/>
              <w:rPr>
                <w:rFonts w:hint="eastAsia" w:ascii="宋体" w:hAnsi="宋体"/>
                <w:bCs/>
                <w:color w:val="000000"/>
                <w:szCs w:val="20"/>
                <w:highlight w:val="none"/>
                <w:lang w:val="en-US" w:eastAsia="zh-CN"/>
              </w:rPr>
            </w:pPr>
          </w:p>
        </w:tc>
        <w:tc>
          <w:tcPr>
            <w:tcW w:w="1746" w:type="dxa"/>
            <w:vAlign w:val="top"/>
          </w:tcPr>
          <w:p w14:paraId="00FFCE79">
            <w:pPr>
              <w:snapToGrid w:val="0"/>
              <w:spacing w:before="156" w:beforeLines="50" w:after="156" w:afterLines="50"/>
              <w:jc w:val="center"/>
              <w:rPr>
                <w:rFonts w:hint="eastAsia" w:ascii="黑体" w:hAnsi="宋体" w:eastAsia="黑体" w:cs="Times New Roman"/>
                <w:kern w:val="2"/>
                <w:sz w:val="24"/>
                <w:szCs w:val="22"/>
                <w:vertAlign w:val="baseline"/>
                <w:lang w:val="en-US" w:eastAsia="zh-CN" w:bidi="ar-SA"/>
              </w:rPr>
            </w:pPr>
            <w:r>
              <w:rPr>
                <w:rFonts w:hint="eastAsia" w:ascii="宋体" w:hAnsi="宋体"/>
                <w:bCs/>
                <w:color w:val="000000"/>
                <w:szCs w:val="20"/>
              </w:rPr>
              <w:t>X3</w:t>
            </w:r>
          </w:p>
        </w:tc>
        <w:tc>
          <w:tcPr>
            <w:tcW w:w="3226" w:type="dxa"/>
            <w:gridSpan w:val="2"/>
            <w:vAlign w:val="top"/>
          </w:tcPr>
          <w:p w14:paraId="5961F9A8">
            <w:pPr>
              <w:snapToGrid w:val="0"/>
              <w:spacing w:before="156" w:beforeLines="50" w:after="156" w:afterLines="50"/>
              <w:jc w:val="center"/>
              <w:rPr>
                <w:rFonts w:hint="eastAsia" w:ascii="宋体" w:hAnsi="宋体" w:eastAsia="宋体" w:cs="Times New Roman"/>
                <w:bCs/>
                <w:color w:val="000000"/>
                <w:kern w:val="2"/>
                <w:sz w:val="21"/>
                <w:szCs w:val="20"/>
                <w:highlight w:val="none"/>
                <w:lang w:val="en-US" w:eastAsia="zh-CN" w:bidi="ar-SA"/>
              </w:rPr>
            </w:pPr>
            <w:r>
              <w:rPr>
                <w:rFonts w:hint="eastAsia" w:ascii="宋体" w:hAnsi="宋体"/>
                <w:bCs/>
                <w:color w:val="000000"/>
                <w:szCs w:val="20"/>
                <w:lang w:val="en-US" w:eastAsia="zh-CN"/>
              </w:rPr>
              <w:t>总结</w:t>
            </w:r>
            <w:r>
              <w:rPr>
                <w:rFonts w:hint="eastAsia" w:ascii="宋体" w:hAnsi="宋体"/>
                <w:bCs/>
                <w:color w:val="000000"/>
                <w:szCs w:val="20"/>
              </w:rPr>
              <w:t>报告</w:t>
            </w:r>
          </w:p>
        </w:tc>
        <w:tc>
          <w:tcPr>
            <w:tcW w:w="2485" w:type="dxa"/>
            <w:vAlign w:val="top"/>
          </w:tcPr>
          <w:p w14:paraId="0076BA0A">
            <w:pPr>
              <w:snapToGrid w:val="0"/>
              <w:spacing w:before="156" w:beforeLines="50" w:after="156" w:afterLines="50"/>
              <w:jc w:val="center"/>
              <w:rPr>
                <w:rFonts w:hint="eastAsia" w:ascii="宋体" w:hAnsi="宋体" w:eastAsia="宋体" w:cs="Times New Roman"/>
                <w:bCs/>
                <w:color w:val="000000"/>
                <w:kern w:val="2"/>
                <w:sz w:val="21"/>
                <w:szCs w:val="20"/>
                <w:highlight w:val="none"/>
                <w:lang w:val="en-US" w:eastAsia="zh-CN" w:bidi="ar-SA"/>
              </w:rPr>
            </w:pPr>
            <w:r>
              <w:rPr>
                <w:rFonts w:hint="eastAsia" w:ascii="宋体" w:hAnsi="宋体"/>
                <w:bCs/>
                <w:color w:val="000000"/>
                <w:szCs w:val="20"/>
                <w:lang w:val="en-US" w:eastAsia="zh-CN"/>
              </w:rPr>
              <w:t>2</w:t>
            </w:r>
            <w:r>
              <w:rPr>
                <w:rFonts w:ascii="宋体" w:hAnsi="宋体"/>
                <w:bCs/>
                <w:color w:val="000000"/>
                <w:szCs w:val="20"/>
              </w:rPr>
              <w:t>5</w:t>
            </w:r>
            <w:r>
              <w:rPr>
                <w:rFonts w:hint="eastAsia" w:ascii="宋体" w:hAnsi="宋体"/>
                <w:bCs/>
                <w:color w:val="000000"/>
                <w:szCs w:val="20"/>
              </w:rPr>
              <w:t>%</w:t>
            </w:r>
          </w:p>
        </w:tc>
      </w:tr>
    </w:tbl>
    <w:p w14:paraId="682EFBB4">
      <w:pPr>
        <w:rPr>
          <w:bCs/>
        </w:rPr>
      </w:pPr>
    </w:p>
    <w:p w14:paraId="679022B3">
      <w:pPr>
        <w:snapToGrid w:val="0"/>
        <w:spacing w:line="288" w:lineRule="auto"/>
        <w:rPr>
          <w:rFonts w:hint="eastAsia"/>
          <w:sz w:val="28"/>
          <w:szCs w:val="28"/>
          <w:lang w:val="en-US" w:eastAsia="zh-CN"/>
        </w:rPr>
      </w:pPr>
      <w:r>
        <w:rPr>
          <w:rFonts w:hint="eastAsia"/>
          <w:sz w:val="28"/>
          <w:szCs w:val="28"/>
        </w:rPr>
        <w:t xml:space="preserve">撰写人： </w:t>
      </w:r>
      <w:r>
        <w:rPr>
          <w:rFonts w:hint="eastAsia"/>
          <w:sz w:val="28"/>
          <w:szCs w:val="28"/>
          <w:lang w:val="en-US" w:eastAsia="zh-CN"/>
        </w:rPr>
        <w:t>马嘉玉</w:t>
      </w:r>
      <w:r>
        <w:rPr>
          <w:sz w:val="28"/>
          <w:szCs w:val="28"/>
        </w:rPr>
        <w:t xml:space="preserve">  </w:t>
      </w:r>
      <w:r>
        <w:rPr>
          <w:rFonts w:hint="eastAsia"/>
          <w:sz w:val="28"/>
          <w:szCs w:val="28"/>
        </w:rPr>
        <w:t xml:space="preserve">    </w:t>
      </w:r>
      <w:r>
        <w:rPr>
          <w:rFonts w:hint="eastAsia"/>
          <w:sz w:val="28"/>
          <w:szCs w:val="28"/>
          <w:lang w:val="en-US" w:eastAsia="zh-CN"/>
        </w:rPr>
        <w:t>系主任审核： 步社民   日期：2023-9-3</w:t>
      </w:r>
    </w:p>
    <w:p w14:paraId="0999C72D">
      <w:pPr>
        <w:snapToGrid w:val="0"/>
        <w:spacing w:line="288" w:lineRule="auto"/>
        <w:jc w:val="center"/>
        <w:rPr>
          <w:rFonts w:hint="default" w:eastAsia="宋体"/>
          <w:sz w:val="28"/>
          <w:szCs w:val="28"/>
          <w:lang w:val="en-US" w:eastAsia="zh-CN"/>
        </w:rPr>
      </w:pPr>
    </w:p>
    <w:p w14:paraId="652D5D02">
      <w:bookmarkStart w:id="1" w:name="_GoBack"/>
      <w:bookmarkEnd w:id="1"/>
    </w:p>
    <w:p w14:paraId="72A5D0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DA6BF"/>
    <w:multiLevelType w:val="singleLevel"/>
    <w:tmpl w:val="954DA6BF"/>
    <w:lvl w:ilvl="0" w:tentative="0">
      <w:start w:val="1"/>
      <w:numFmt w:val="decimal"/>
      <w:lvlText w:val="%1."/>
      <w:lvlJc w:val="left"/>
      <w:pPr>
        <w:tabs>
          <w:tab w:val="left" w:pos="312"/>
        </w:tabs>
      </w:pPr>
    </w:lvl>
  </w:abstractNum>
  <w:abstractNum w:abstractNumId="1">
    <w:nsid w:val="A6F1AB30"/>
    <w:multiLevelType w:val="singleLevel"/>
    <w:tmpl w:val="A6F1AB30"/>
    <w:lvl w:ilvl="0" w:tentative="0">
      <w:start w:val="1"/>
      <w:numFmt w:val="decimal"/>
      <w:lvlText w:val="%1."/>
      <w:lvlJc w:val="left"/>
      <w:pPr>
        <w:tabs>
          <w:tab w:val="left" w:pos="312"/>
        </w:tabs>
      </w:pPr>
    </w:lvl>
  </w:abstractNum>
  <w:abstractNum w:abstractNumId="2">
    <w:nsid w:val="DC04D63C"/>
    <w:multiLevelType w:val="singleLevel"/>
    <w:tmpl w:val="DC04D63C"/>
    <w:lvl w:ilvl="0" w:tentative="0">
      <w:start w:val="1"/>
      <w:numFmt w:val="decimal"/>
      <w:lvlText w:val="%1."/>
      <w:lvlJc w:val="left"/>
      <w:pPr>
        <w:tabs>
          <w:tab w:val="left" w:pos="312"/>
        </w:tabs>
      </w:pPr>
    </w:lvl>
  </w:abstractNum>
  <w:abstractNum w:abstractNumId="3">
    <w:nsid w:val="E1E468C5"/>
    <w:multiLevelType w:val="singleLevel"/>
    <w:tmpl w:val="E1E468C5"/>
    <w:lvl w:ilvl="0" w:tentative="0">
      <w:start w:val="1"/>
      <w:numFmt w:val="decimal"/>
      <w:lvlText w:val="%1."/>
      <w:lvlJc w:val="left"/>
      <w:pPr>
        <w:tabs>
          <w:tab w:val="left" w:pos="312"/>
        </w:tabs>
      </w:pPr>
    </w:lvl>
  </w:abstractNum>
  <w:abstractNum w:abstractNumId="4">
    <w:nsid w:val="E5A3D9BA"/>
    <w:multiLevelType w:val="singleLevel"/>
    <w:tmpl w:val="E5A3D9BA"/>
    <w:lvl w:ilvl="0" w:tentative="0">
      <w:start w:val="1"/>
      <w:numFmt w:val="decimal"/>
      <w:lvlText w:val="%1."/>
      <w:lvlJc w:val="left"/>
      <w:pPr>
        <w:tabs>
          <w:tab w:val="left" w:pos="312"/>
        </w:tabs>
      </w:pPr>
    </w:lvl>
  </w:abstractNum>
  <w:abstractNum w:abstractNumId="5">
    <w:nsid w:val="10D0BE3B"/>
    <w:multiLevelType w:val="singleLevel"/>
    <w:tmpl w:val="10D0BE3B"/>
    <w:lvl w:ilvl="0" w:tentative="0">
      <w:start w:val="1"/>
      <w:numFmt w:val="decimal"/>
      <w:lvlText w:val="%1."/>
      <w:lvlJc w:val="left"/>
      <w:pPr>
        <w:tabs>
          <w:tab w:val="left" w:pos="312"/>
        </w:tabs>
      </w:pPr>
    </w:lvl>
  </w:abstractNum>
  <w:abstractNum w:abstractNumId="6">
    <w:nsid w:val="1BADD652"/>
    <w:multiLevelType w:val="singleLevel"/>
    <w:tmpl w:val="1BADD652"/>
    <w:lvl w:ilvl="0" w:tentative="0">
      <w:start w:val="4"/>
      <w:numFmt w:val="chineseCounting"/>
      <w:suff w:val="nothing"/>
      <w:lvlText w:val="%1、"/>
      <w:lvlJc w:val="left"/>
      <w:pPr>
        <w:ind w:left="60"/>
      </w:pPr>
      <w:rPr>
        <w:rFonts w:hint="eastAsia"/>
      </w:rPr>
    </w:lvl>
  </w:abstractNum>
  <w:abstractNum w:abstractNumId="7">
    <w:nsid w:val="3896E92C"/>
    <w:multiLevelType w:val="singleLevel"/>
    <w:tmpl w:val="3896E92C"/>
    <w:lvl w:ilvl="0" w:tentative="0">
      <w:start w:val="1"/>
      <w:numFmt w:val="decimal"/>
      <w:lvlText w:val="%1."/>
      <w:lvlJc w:val="left"/>
      <w:pPr>
        <w:tabs>
          <w:tab w:val="left" w:pos="312"/>
        </w:tabs>
      </w:p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728F486D"/>
    <w:rsid w:val="000126E4"/>
    <w:rsid w:val="00012F6A"/>
    <w:rsid w:val="00016F1D"/>
    <w:rsid w:val="000C2615"/>
    <w:rsid w:val="00111508"/>
    <w:rsid w:val="00143984"/>
    <w:rsid w:val="0023009D"/>
    <w:rsid w:val="0029469A"/>
    <w:rsid w:val="00335B13"/>
    <w:rsid w:val="00364E2E"/>
    <w:rsid w:val="003D7D28"/>
    <w:rsid w:val="0048005E"/>
    <w:rsid w:val="004C57B7"/>
    <w:rsid w:val="005672B8"/>
    <w:rsid w:val="006602A4"/>
    <w:rsid w:val="006F3E75"/>
    <w:rsid w:val="006F53C1"/>
    <w:rsid w:val="0072338F"/>
    <w:rsid w:val="00736116"/>
    <w:rsid w:val="0075088D"/>
    <w:rsid w:val="007923B9"/>
    <w:rsid w:val="00834257"/>
    <w:rsid w:val="008E3712"/>
    <w:rsid w:val="008E6341"/>
    <w:rsid w:val="00981405"/>
    <w:rsid w:val="009F08AD"/>
    <w:rsid w:val="00B10AF5"/>
    <w:rsid w:val="00BA661E"/>
    <w:rsid w:val="00BC768F"/>
    <w:rsid w:val="00CA728F"/>
    <w:rsid w:val="00CC18CF"/>
    <w:rsid w:val="00CF0415"/>
    <w:rsid w:val="00D017D9"/>
    <w:rsid w:val="00D50393"/>
    <w:rsid w:val="00D67226"/>
    <w:rsid w:val="00D72954"/>
    <w:rsid w:val="00D7663E"/>
    <w:rsid w:val="00E67057"/>
    <w:rsid w:val="00EF2BDF"/>
    <w:rsid w:val="00F512B4"/>
    <w:rsid w:val="00F54DFB"/>
    <w:rsid w:val="00F6099B"/>
    <w:rsid w:val="00F60A67"/>
    <w:rsid w:val="00FA68D1"/>
    <w:rsid w:val="00FB1D66"/>
    <w:rsid w:val="0168644D"/>
    <w:rsid w:val="030D70F5"/>
    <w:rsid w:val="04076322"/>
    <w:rsid w:val="0461337A"/>
    <w:rsid w:val="062A61F7"/>
    <w:rsid w:val="0903031B"/>
    <w:rsid w:val="0913444D"/>
    <w:rsid w:val="09D11693"/>
    <w:rsid w:val="0AB2259C"/>
    <w:rsid w:val="0CD55922"/>
    <w:rsid w:val="11EE5A02"/>
    <w:rsid w:val="1227273C"/>
    <w:rsid w:val="12B97A8F"/>
    <w:rsid w:val="12ED2AF3"/>
    <w:rsid w:val="135B0C7F"/>
    <w:rsid w:val="14CF244A"/>
    <w:rsid w:val="14F209AC"/>
    <w:rsid w:val="165A35B1"/>
    <w:rsid w:val="170B0A4A"/>
    <w:rsid w:val="17A44FC1"/>
    <w:rsid w:val="19267DE3"/>
    <w:rsid w:val="1964173B"/>
    <w:rsid w:val="1A367F46"/>
    <w:rsid w:val="1A82318C"/>
    <w:rsid w:val="1D151AFF"/>
    <w:rsid w:val="1D783CF4"/>
    <w:rsid w:val="1DC15B33"/>
    <w:rsid w:val="1E8F2253"/>
    <w:rsid w:val="21116E30"/>
    <w:rsid w:val="21EF51DA"/>
    <w:rsid w:val="22392525"/>
    <w:rsid w:val="229E45B5"/>
    <w:rsid w:val="22FE227A"/>
    <w:rsid w:val="239C0B57"/>
    <w:rsid w:val="265E653C"/>
    <w:rsid w:val="2704401F"/>
    <w:rsid w:val="278C39AC"/>
    <w:rsid w:val="28DD7538"/>
    <w:rsid w:val="2A121A17"/>
    <w:rsid w:val="2AFF3206"/>
    <w:rsid w:val="2BDE3116"/>
    <w:rsid w:val="2C612CFF"/>
    <w:rsid w:val="35F21569"/>
    <w:rsid w:val="36AA21BC"/>
    <w:rsid w:val="371A4FEA"/>
    <w:rsid w:val="38966312"/>
    <w:rsid w:val="3B7C4840"/>
    <w:rsid w:val="3C711B9B"/>
    <w:rsid w:val="3CEF02E2"/>
    <w:rsid w:val="3DBE2204"/>
    <w:rsid w:val="3E367666"/>
    <w:rsid w:val="424D444A"/>
    <w:rsid w:val="425D3B63"/>
    <w:rsid w:val="43331033"/>
    <w:rsid w:val="434C4ED5"/>
    <w:rsid w:val="437A7EE7"/>
    <w:rsid w:val="4440651E"/>
    <w:rsid w:val="45972C51"/>
    <w:rsid w:val="46412C1D"/>
    <w:rsid w:val="46A71DC3"/>
    <w:rsid w:val="47525280"/>
    <w:rsid w:val="4B7C5E8D"/>
    <w:rsid w:val="4BA53A7E"/>
    <w:rsid w:val="4BBC54B4"/>
    <w:rsid w:val="4BEA1471"/>
    <w:rsid w:val="4DA2649F"/>
    <w:rsid w:val="4EBC340E"/>
    <w:rsid w:val="4EBE2553"/>
    <w:rsid w:val="4F847065"/>
    <w:rsid w:val="501C092E"/>
    <w:rsid w:val="503B4700"/>
    <w:rsid w:val="503E38F0"/>
    <w:rsid w:val="50461058"/>
    <w:rsid w:val="505C72D7"/>
    <w:rsid w:val="5060011C"/>
    <w:rsid w:val="511624D8"/>
    <w:rsid w:val="51B8643D"/>
    <w:rsid w:val="530F0E55"/>
    <w:rsid w:val="532502CD"/>
    <w:rsid w:val="547F0E13"/>
    <w:rsid w:val="560B6202"/>
    <w:rsid w:val="57A302E2"/>
    <w:rsid w:val="58861E00"/>
    <w:rsid w:val="59021BED"/>
    <w:rsid w:val="5A077F93"/>
    <w:rsid w:val="5A3A5635"/>
    <w:rsid w:val="5A3D7F5A"/>
    <w:rsid w:val="5AB72E10"/>
    <w:rsid w:val="5C4D47E4"/>
    <w:rsid w:val="5D8F7120"/>
    <w:rsid w:val="5EC076FC"/>
    <w:rsid w:val="5F6F750B"/>
    <w:rsid w:val="60061B51"/>
    <w:rsid w:val="614F0457"/>
    <w:rsid w:val="62130C1E"/>
    <w:rsid w:val="622E77F3"/>
    <w:rsid w:val="63080B48"/>
    <w:rsid w:val="63E730B4"/>
    <w:rsid w:val="680252E3"/>
    <w:rsid w:val="69923D93"/>
    <w:rsid w:val="6B912DF7"/>
    <w:rsid w:val="6C4578B0"/>
    <w:rsid w:val="6E1D55FB"/>
    <w:rsid w:val="6F1F75AF"/>
    <w:rsid w:val="6F856260"/>
    <w:rsid w:val="6FF5AB2C"/>
    <w:rsid w:val="6FF70753"/>
    <w:rsid w:val="71382502"/>
    <w:rsid w:val="728F486D"/>
    <w:rsid w:val="76843334"/>
    <w:rsid w:val="776A7AA5"/>
    <w:rsid w:val="789D62AA"/>
    <w:rsid w:val="7AB4796D"/>
    <w:rsid w:val="7B545C6B"/>
    <w:rsid w:val="7BD2578C"/>
    <w:rsid w:val="7D634CCE"/>
    <w:rsid w:val="7E103D55"/>
    <w:rsid w:val="7EF80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99"/>
    <w:pPr>
      <w:ind w:firstLine="420" w:firstLineChars="200"/>
    </w:pPr>
  </w:style>
  <w:style w:type="character" w:customStyle="1" w:styleId="10">
    <w:name w:val="页眉 字符"/>
    <w:basedOn w:val="7"/>
    <w:link w:val="4"/>
    <w:qFormat/>
    <w:uiPriority w:val="0"/>
    <w:rPr>
      <w:rFonts w:ascii="Calibri" w:hAnsi="Calibri" w:eastAsia="宋体" w:cs="Times New Roman"/>
      <w:kern w:val="2"/>
      <w:sz w:val="18"/>
      <w:szCs w:val="18"/>
    </w:rPr>
  </w:style>
  <w:style w:type="character" w:customStyle="1" w:styleId="11">
    <w:name w:val="页脚 字符"/>
    <w:basedOn w:val="7"/>
    <w:link w:val="3"/>
    <w:qFormat/>
    <w:uiPriority w:val="0"/>
    <w:rPr>
      <w:rFonts w:ascii="Calibri" w:hAnsi="Calibri" w:eastAsia="宋体" w:cs="Times New Roman"/>
      <w:kern w:val="2"/>
      <w:sz w:val="18"/>
      <w:szCs w:val="18"/>
    </w:rPr>
  </w:style>
  <w:style w:type="table" w:customStyle="1" w:styleId="12">
    <w:name w:val="网格型1"/>
    <w:basedOn w:val="5"/>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2365</Words>
  <Characters>2644</Characters>
  <Lines>25</Lines>
  <Paragraphs>7</Paragraphs>
  <TotalTime>0</TotalTime>
  <ScaleCrop>false</ScaleCrop>
  <LinksUpToDate>false</LinksUpToDate>
  <CharactersWithSpaces>2661</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2020-09-12T21:39:00Z</dcterms:created>
  <dc:creator>黄艳</dc:creator>
  <cp:lastModifiedBy>leee</cp:lastModifiedBy>
  <cp:lastPrinted>2021-04-10T09:39:00Z</cp:lastPrinted>
  <dcterms:modified xsi:type="dcterms:W3CDTF">2024-10-12T01:05:48Z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AEBADFE30A0645FC881BB60E2BD750E4</vt:lpwstr>
  </property>
</Properties>
</file>