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rPr>
          <w:rFonts w:hint="eastAsia"/>
          <w:b/>
          <w:sz w:val="28"/>
          <w:szCs w:val="30"/>
        </w:rPr>
        <w:t>【 钢琴与弹唱（一）】</w:t>
      </w:r>
    </w:p>
    <w:p>
      <w:pPr>
        <w:shd w:val="clear" w:color="auto" w:fill="F5F5F5"/>
        <w:jc w:val="center"/>
        <w:textAlignment w:val="top"/>
        <w:rPr>
          <w:rFonts w:hint="eastAsia"/>
          <w:b/>
          <w:sz w:val="28"/>
          <w:szCs w:val="30"/>
        </w:rPr>
      </w:pPr>
      <w:r>
        <w:rPr>
          <w:rFonts w:hint="eastAsia"/>
          <w:b/>
          <w:sz w:val="28"/>
          <w:szCs w:val="30"/>
        </w:rPr>
        <w:t xml:space="preserve">【 </w:t>
      </w:r>
      <w:r>
        <w:rPr>
          <w:rFonts w:hint="eastAsia" w:ascii="Times New Roman" w:hAnsi="Times New Roman"/>
          <w:b/>
          <w:sz w:val="28"/>
          <w:szCs w:val="30"/>
        </w:rPr>
        <w:t>Pi</w:t>
      </w:r>
      <w:r>
        <w:rPr>
          <w:rFonts w:ascii="Times New Roman" w:hAnsi="Times New Roman"/>
          <w:b/>
          <w:sz w:val="28"/>
          <w:szCs w:val="30"/>
        </w:rPr>
        <w:t xml:space="preserve">ano and Singing </w:t>
      </w:r>
      <w:r>
        <w:rPr>
          <w:rFonts w:hint="eastAsia" w:ascii="Times New Roman" w:hAnsi="Times New Roman"/>
          <w:b/>
          <w:sz w:val="28"/>
          <w:szCs w:val="30"/>
        </w:rPr>
        <w:t>Ⅰ</w:t>
      </w:r>
      <w:r>
        <w:rPr>
          <w:rFonts w:hint="eastAsia"/>
          <w:b/>
          <w:sz w:val="28"/>
          <w:szCs w:val="30"/>
        </w:rPr>
        <w:t>】</w:t>
      </w:r>
      <w:bookmarkStart w:id="0" w:name="a2"/>
      <w:bookmarkEnd w:id="0"/>
    </w:p>
    <w:p>
      <w:pPr>
        <w:spacing w:before="156" w:beforeLines="50" w:after="156" w:afterLines="50" w:line="288" w:lineRule="auto"/>
        <w:ind w:firstLine="360" w:firstLineChars="150"/>
        <w:rPr>
          <w:rFonts w:ascii="黑体" w:hAnsi="宋体" w:eastAsia="黑体"/>
          <w:sz w:val="24"/>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w:t>
      </w:r>
      <w:r>
        <w:rPr>
          <w:rFonts w:ascii="宋体" w:hAnsi="宋体"/>
          <w:szCs w:val="21"/>
        </w:rPr>
        <w:t>2135005</w:t>
      </w:r>
      <w:r>
        <w:rPr>
          <w:color w:val="000000"/>
          <w:sz w:val="20"/>
          <w:szCs w:val="20"/>
        </w:rPr>
        <w:t>】</w:t>
      </w:r>
    </w:p>
    <w:p>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1</w:t>
      </w:r>
      <w:r>
        <w:rPr>
          <w:color w:val="000000"/>
          <w:sz w:val="20"/>
          <w:szCs w:val="20"/>
        </w:rPr>
        <w:t>】</w:t>
      </w:r>
    </w:p>
    <w:p>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学前教育专业学生</w:t>
      </w:r>
      <w:r>
        <w:rPr>
          <w:color w:val="000000"/>
          <w:sz w:val="20"/>
          <w:szCs w:val="20"/>
        </w:rPr>
        <w:t>】</w:t>
      </w:r>
    </w:p>
    <w:p>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rFonts w:hint="eastAsia" w:asciiTheme="minorEastAsia" w:hAnsiTheme="minorEastAsia"/>
          <w:color w:val="000000"/>
          <w:sz w:val="20"/>
          <w:szCs w:val="20"/>
        </w:rPr>
        <w:t>◎</w:t>
      </w:r>
      <w:r>
        <w:rPr>
          <w:color w:val="000000"/>
          <w:sz w:val="20"/>
          <w:szCs w:val="20"/>
        </w:rPr>
        <w:t>】</w:t>
      </w:r>
    </w:p>
    <w:p>
      <w:pPr>
        <w:snapToGrid w:val="0"/>
        <w:spacing w:line="288" w:lineRule="auto"/>
        <w:ind w:firstLine="392" w:firstLineChars="196"/>
        <w:rPr>
          <w:b/>
          <w:bCs/>
          <w:color w:val="000000"/>
          <w:szCs w:val="21"/>
        </w:rPr>
      </w:pPr>
      <w:r>
        <w:rPr>
          <w:b/>
          <w:bCs/>
          <w:color w:val="000000"/>
          <w:sz w:val="20"/>
          <w:szCs w:val="20"/>
        </w:rPr>
        <w:t>开课院系：</w:t>
      </w:r>
      <w:r>
        <w:rPr>
          <w:rFonts w:hint="eastAsia"/>
          <w:color w:val="000000"/>
          <w:sz w:val="20"/>
          <w:szCs w:val="20"/>
        </w:rPr>
        <w:t>学前教育系</w:t>
      </w:r>
    </w:p>
    <w:p>
      <w:pPr>
        <w:tabs>
          <w:tab w:val="left" w:pos="532"/>
        </w:tabs>
        <w:spacing w:line="340" w:lineRule="exact"/>
        <w:ind w:firstLine="400" w:firstLineChars="200"/>
        <w:rPr>
          <w:rFonts w:asciiTheme="minorEastAsia" w:hAnsiTheme="minorEastAsia" w:eastAsiaTheme="minorEastAsia"/>
          <w:kern w:val="0"/>
          <w:sz w:val="20"/>
          <w:szCs w:val="20"/>
        </w:rPr>
      </w:pPr>
      <w:r>
        <w:rPr>
          <w:b/>
          <w:bCs/>
          <w:color w:val="000000"/>
          <w:sz w:val="20"/>
          <w:szCs w:val="20"/>
        </w:rPr>
        <w:t>使用教材：</w:t>
      </w:r>
      <w:r>
        <w:rPr>
          <w:rFonts w:hint="eastAsia"/>
          <w:color w:val="000000"/>
          <w:sz w:val="20"/>
          <w:szCs w:val="20"/>
        </w:rPr>
        <w:t>教材【</w:t>
      </w:r>
      <w:r>
        <w:rPr>
          <w:rFonts w:hint="eastAsia" w:asciiTheme="minorEastAsia" w:hAnsiTheme="minorEastAsia" w:eastAsiaTheme="minorEastAsia"/>
          <w:kern w:val="0"/>
          <w:sz w:val="20"/>
          <w:szCs w:val="20"/>
        </w:rPr>
        <w:t>《钢琴基础（一）》主编：栾珺 著 上海交通大学出版社】</w:t>
      </w:r>
    </w:p>
    <w:p>
      <w:pPr>
        <w:snapToGrid w:val="0"/>
        <w:spacing w:line="288" w:lineRule="auto"/>
        <w:ind w:firstLine="1400" w:firstLineChars="700"/>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教材【《乐理视唱练耳》 主编：张怡 唐瑭 著 上海交通大学出版社】</w:t>
      </w:r>
    </w:p>
    <w:p>
      <w:pPr>
        <w:snapToGrid w:val="0"/>
        <w:spacing w:line="288" w:lineRule="auto"/>
        <w:ind w:firstLine="600" w:firstLineChars="300"/>
        <w:rPr>
          <w:rFonts w:asciiTheme="minorEastAsia" w:hAnsiTheme="minorEastAsia" w:eastAsiaTheme="minorEastAsia"/>
          <w:color w:val="000000"/>
          <w:sz w:val="20"/>
          <w:szCs w:val="20"/>
        </w:rPr>
      </w:pPr>
      <w:r>
        <w:rPr>
          <w:rFonts w:hint="eastAsia" w:asciiTheme="minorEastAsia" w:hAnsiTheme="minorEastAsia"/>
          <w:color w:val="000000"/>
          <w:sz w:val="20"/>
          <w:szCs w:val="20"/>
        </w:rPr>
        <w:t>参考书目</w:t>
      </w:r>
      <w:r>
        <w:rPr>
          <w:rFonts w:hint="eastAsia" w:asciiTheme="minorEastAsia" w:hAnsiTheme="minorEastAsia" w:eastAsiaTheme="minorEastAsia"/>
          <w:color w:val="000000"/>
          <w:sz w:val="20"/>
          <w:szCs w:val="20"/>
        </w:rPr>
        <w:t>【《钢琴（一）》主编：蒋薇 郭爱娜 著 出版社：上海音乐学院出版社】</w:t>
      </w:r>
    </w:p>
    <w:p>
      <w:pPr>
        <w:snapToGrid w:val="0"/>
        <w:spacing w:line="288" w:lineRule="auto"/>
        <w:ind w:firstLine="600" w:firstLineChars="300"/>
        <w:rPr>
          <w:rFonts w:asciiTheme="minorEastAsia" w:hAnsiTheme="minorEastAsia" w:eastAsiaTheme="minorEastAsia"/>
          <w:color w:val="000000"/>
          <w:sz w:val="20"/>
          <w:szCs w:val="20"/>
        </w:rPr>
      </w:pPr>
      <w:r>
        <w:rPr>
          <w:rFonts w:hint="eastAsia" w:asciiTheme="minorEastAsia" w:hAnsiTheme="minorEastAsia"/>
          <w:color w:val="000000"/>
          <w:sz w:val="20"/>
          <w:szCs w:val="20"/>
        </w:rPr>
        <w:t>参考书目</w:t>
      </w:r>
      <w:r>
        <w:rPr>
          <w:rFonts w:hint="eastAsia" w:asciiTheme="minorEastAsia" w:hAnsiTheme="minorEastAsia" w:eastAsiaTheme="minorEastAsia"/>
          <w:color w:val="000000"/>
          <w:sz w:val="20"/>
          <w:szCs w:val="20"/>
        </w:rPr>
        <w:t>【《视唱练耳（上）》主编：李亚伟、廖洪立 著 出版社：上海音乐学院出版社】</w:t>
      </w:r>
    </w:p>
    <w:p>
      <w:pPr>
        <w:snapToGrid w:val="0"/>
        <w:spacing w:line="288" w:lineRule="auto"/>
        <w:ind w:firstLine="592" w:firstLineChars="296"/>
        <w:rPr>
          <w:rFonts w:asciiTheme="minorEastAsia" w:hAnsiTheme="minorEastAsia" w:eastAsiaTheme="minorEastAsia"/>
          <w:color w:val="000000"/>
          <w:sz w:val="20"/>
          <w:szCs w:val="20"/>
        </w:rPr>
      </w:pPr>
      <w:r>
        <w:rPr>
          <w:rFonts w:hint="eastAsia" w:asciiTheme="minorEastAsia" w:hAnsiTheme="minorEastAsia"/>
          <w:color w:val="000000"/>
          <w:sz w:val="20"/>
          <w:szCs w:val="20"/>
        </w:rPr>
        <w:t>参考书目</w:t>
      </w:r>
      <w:r>
        <w:rPr>
          <w:rFonts w:hint="eastAsia" w:asciiTheme="minorEastAsia" w:hAnsiTheme="minorEastAsia" w:eastAsiaTheme="minorEastAsia"/>
          <w:color w:val="000000"/>
          <w:sz w:val="20"/>
          <w:szCs w:val="20"/>
        </w:rPr>
        <w:t>【《视唱练耳（下）》主编：李亚伟、廖洪立 著 出版社：上海音乐学院出版社】</w:t>
      </w:r>
    </w:p>
    <w:p>
      <w:pPr>
        <w:snapToGrid w:val="0"/>
        <w:spacing w:line="288" w:lineRule="auto"/>
        <w:ind w:firstLine="392" w:firstLineChars="196"/>
        <w:rPr>
          <w:b/>
          <w:bCs/>
          <w:color w:val="000000"/>
          <w:sz w:val="20"/>
          <w:szCs w:val="20"/>
        </w:rPr>
      </w:pPr>
      <w:r>
        <w:rPr>
          <w:rFonts w:hint="eastAsia"/>
          <w:b/>
          <w:bCs/>
          <w:color w:val="000000"/>
          <w:sz w:val="20"/>
          <w:szCs w:val="20"/>
        </w:rPr>
        <w:t>课程网站网址：</w:t>
      </w:r>
    </w:p>
    <w:p>
      <w:pPr>
        <w:snapToGrid w:val="0"/>
        <w:spacing w:line="288" w:lineRule="auto"/>
        <w:ind w:left="2512" w:leftChars="196" w:hanging="2100" w:hangingChars="1000"/>
        <w:rPr>
          <w:color w:val="000000"/>
          <w:sz w:val="20"/>
          <w:szCs w:val="20"/>
        </w:rPr>
      </w:pPr>
      <w:r>
        <w:fldChar w:fldCharType="begin"/>
      </w:r>
      <w:r>
        <w:instrText xml:space="preserve"> HYPERLINK "http://course.jingpinke.com/details?uuid=8a833999-2152448b-0121-52448c0b-00f1" </w:instrText>
      </w:r>
      <w:r>
        <w:fldChar w:fldCharType="separate"/>
      </w:r>
      <w:r>
        <w:rPr>
          <w:rStyle w:val="7"/>
          <w:sz w:val="20"/>
          <w:szCs w:val="20"/>
        </w:rPr>
        <w:t>http://course.jingpinke.com/details?uuid=8a833999-2152448b-0121-52448c0b-00f1</w:t>
      </w:r>
      <w:r>
        <w:rPr>
          <w:rStyle w:val="7"/>
          <w:sz w:val="20"/>
          <w:szCs w:val="20"/>
        </w:rPr>
        <w:fldChar w:fldCharType="end"/>
      </w:r>
    </w:p>
    <w:p>
      <w:pPr>
        <w:snapToGrid w:val="0"/>
        <w:spacing w:line="288" w:lineRule="auto"/>
        <w:ind w:left="2512" w:leftChars="196" w:hanging="2100" w:hangingChars="1000"/>
        <w:rPr>
          <w:color w:val="000000"/>
          <w:sz w:val="20"/>
          <w:szCs w:val="20"/>
        </w:rPr>
      </w:pPr>
      <w:r>
        <w:fldChar w:fldCharType="begin"/>
      </w:r>
      <w:r>
        <w:instrText xml:space="preserve"> HYPERLINK "http://course.jingpinke.com/details?uuid=8a833999-2152448b-0121-52448c2e-02dd" </w:instrText>
      </w:r>
      <w:r>
        <w:fldChar w:fldCharType="separate"/>
      </w:r>
      <w:r>
        <w:rPr>
          <w:rStyle w:val="7"/>
          <w:sz w:val="20"/>
          <w:szCs w:val="20"/>
        </w:rPr>
        <w:t>http://course.jingpinke.com/details?uuid=8a833999-2152448b-0121-52448c2e-02dd</w:t>
      </w:r>
      <w:r>
        <w:rPr>
          <w:rStyle w:val="7"/>
          <w:sz w:val="20"/>
          <w:szCs w:val="20"/>
        </w:rPr>
        <w:fldChar w:fldCharType="end"/>
      </w:r>
    </w:p>
    <w:p>
      <w:pPr>
        <w:snapToGrid w:val="0"/>
        <w:spacing w:line="288" w:lineRule="auto"/>
        <w:ind w:left="2412" w:leftChars="196" w:hanging="2000" w:hangingChars="1000"/>
        <w:rPr>
          <w:color w:val="000000"/>
          <w:sz w:val="20"/>
          <w:szCs w:val="20"/>
        </w:rPr>
      </w:pPr>
      <w:r>
        <w:rPr>
          <w:color w:val="000000"/>
          <w:sz w:val="20"/>
          <w:szCs w:val="20"/>
        </w:rPr>
        <w:t>http://course.jingpinke.com/details?uuid=6e5d88d0-125b-1000-808d-144ee02f1e73</w:t>
      </w:r>
    </w:p>
    <w:p>
      <w:pPr>
        <w:adjustRightInd w:val="0"/>
        <w:snapToGrid w:val="0"/>
        <w:spacing w:line="288" w:lineRule="auto"/>
        <w:ind w:firstLine="392"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pPr>
        <w:spacing w:before="156" w:beforeLines="50" w:after="156" w:afterLines="50" w:line="288" w:lineRule="auto"/>
        <w:ind w:firstLine="360" w:firstLineChars="150"/>
        <w:rPr>
          <w:rFonts w:ascii="黑体" w:hAnsi="宋体" w:eastAsia="黑体"/>
          <w:sz w:val="24"/>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r>
        <w:rPr>
          <w:rFonts w:hint="eastAsia" w:ascii="黑体" w:hAnsi="宋体" w:eastAsia="黑体"/>
          <w:sz w:val="24"/>
        </w:rPr>
        <w:t xml:space="preserve"> </w:t>
      </w:r>
    </w:p>
    <w:p>
      <w:pPr>
        <w:snapToGrid w:val="0"/>
        <w:spacing w:line="288" w:lineRule="auto"/>
        <w:ind w:firstLine="400" w:firstLineChars="200"/>
        <w:rPr>
          <w:rFonts w:hint="eastAsia"/>
          <w:color w:val="000000"/>
          <w:sz w:val="20"/>
          <w:szCs w:val="20"/>
        </w:rPr>
      </w:pPr>
      <w:bookmarkStart w:id="1" w:name="_Hlk17293430"/>
      <w:r>
        <w:rPr>
          <w:rFonts w:hint="eastAsia"/>
          <w:color w:val="000000"/>
          <w:sz w:val="20"/>
          <w:szCs w:val="20"/>
        </w:rPr>
        <w:t>钢琴与弹唱，由钢琴、弹唱两部分组成。钢琴与弹唱在学前教育专业中处于主干课程的地位，是学前教育专业学生在学习过程中应该掌握的专业教育技能。钢琴与弹唱是指表演者既要具备独立完成作品的能力，又要具备自己演唱，自己能够弹奏的能力。是用钢琴伴奏和声乐演唱来诠释作曲家及作词家创作意图的一种艺术形式。</w:t>
      </w:r>
    </w:p>
    <w:p>
      <w:pPr>
        <w:snapToGrid w:val="0"/>
        <w:spacing w:line="288" w:lineRule="auto"/>
        <w:ind w:firstLine="400" w:firstLineChars="200"/>
        <w:rPr>
          <w:rFonts w:hint="eastAsia"/>
          <w:color w:val="000000"/>
          <w:sz w:val="20"/>
          <w:szCs w:val="20"/>
        </w:rPr>
      </w:pPr>
      <w:r>
        <w:rPr>
          <w:rFonts w:hint="eastAsia"/>
          <w:color w:val="000000"/>
          <w:sz w:val="20"/>
          <w:szCs w:val="20"/>
        </w:rPr>
        <w:t>钢琴，钢琴课可以训练学生用科学的弹奏方法进行钢琴弹奏。通过钢琴课的教学使学生获得键盘基础理论知识，对钢琴弹奏的基本技能方法有较清楚的理解和认识。书中大部分曲谱经过精心创作后，使那些简易的小曲听起来尽可能像结构庞大的乐曲的片段。不仅可以用不同的调弹奏，又避免总是徘徊在C大调上，令人生厌。</w:t>
      </w:r>
    </w:p>
    <w:p>
      <w:pPr>
        <w:snapToGrid w:val="0"/>
        <w:spacing w:line="288" w:lineRule="auto"/>
        <w:ind w:firstLine="400" w:firstLineChars="200"/>
        <w:rPr>
          <w:rFonts w:hint="eastAsia"/>
          <w:color w:val="000000"/>
          <w:sz w:val="20"/>
          <w:szCs w:val="20"/>
        </w:rPr>
      </w:pPr>
      <w:r>
        <w:rPr>
          <w:rFonts w:hint="eastAsia"/>
          <w:color w:val="000000"/>
          <w:sz w:val="20"/>
          <w:szCs w:val="20"/>
        </w:rPr>
        <w:t>弹唱是音乐教育中非常重要的组成部分，其目的是训练学生即弹即唱的能力，培养学生的节拍节奏感、音准与调式感，发展学生的音乐听觉，提高其感受音乐与表达音乐的能力</w:t>
      </w:r>
      <w:r>
        <w:rPr>
          <w:rFonts w:hint="eastAsia"/>
          <w:color w:val="000000"/>
          <w:sz w:val="20"/>
          <w:szCs w:val="20"/>
          <w:lang w:eastAsia="zh-CN"/>
        </w:rPr>
        <w:t>，</w:t>
      </w:r>
      <w:r>
        <w:rPr>
          <w:rFonts w:hint="eastAsia"/>
          <w:color w:val="000000"/>
          <w:sz w:val="20"/>
          <w:szCs w:val="20"/>
          <w:lang w:val="en-US" w:eastAsia="zh-CN"/>
        </w:rPr>
        <w:t>增加学生鉴赏美、创造美的能力</w:t>
      </w:r>
      <w:r>
        <w:rPr>
          <w:rFonts w:hint="eastAsia"/>
          <w:color w:val="000000"/>
          <w:sz w:val="20"/>
          <w:szCs w:val="20"/>
        </w:rPr>
        <w:t>。训练过程中要求划拍弹唱，使学生牢固掌握正确的节拍与节奏感。</w:t>
      </w:r>
    </w:p>
    <w:p>
      <w:pPr>
        <w:snapToGrid w:val="0"/>
        <w:spacing w:line="288" w:lineRule="auto"/>
        <w:ind w:firstLine="400" w:firstLineChars="200"/>
        <w:rPr>
          <w:rFonts w:hint="eastAsia"/>
          <w:color w:val="000000"/>
          <w:sz w:val="20"/>
          <w:szCs w:val="20"/>
        </w:rPr>
      </w:pPr>
      <w:bookmarkStart w:id="2" w:name="_Hlk17640820"/>
      <w:r>
        <w:rPr>
          <w:rFonts w:hint="eastAsia"/>
          <w:color w:val="000000"/>
          <w:sz w:val="20"/>
          <w:szCs w:val="20"/>
        </w:rPr>
        <w:t>本课程采用浅显易懂的上课方式，图文并茂的艺术形式，简单而全面地将钢琴与弹唱的基础知识及其使用方法介绍给学生。结合建桥学前教育专业学生的学习特点，剔除传统教材中或缺乏针对性，或过于理论化、艰深晦涩的内容，选取难易适度的知识点与技能训练，并尽量以准确、平实、精练的文字进行理论阐述，配以形象、生动的图示辅助说明。同时配有定量的课堂练习和课堂实践让学生巩固所学。并辅以答疑解难的课堂时间，解决学生在学习中所遇到的各项问题，力求为学生掌握视谱即弹即唱能力，开拓一条便捷之路。</w:t>
      </w:r>
      <w:bookmarkEnd w:id="1"/>
    </w:p>
    <w:bookmarkEnd w:id="2"/>
    <w:p>
      <w:pPr>
        <w:spacing w:before="156" w:beforeLines="50" w:after="156" w:afterLines="50" w:line="288" w:lineRule="auto"/>
        <w:ind w:firstLine="360" w:firstLineChars="150"/>
        <w:rPr>
          <w:rFonts w:hint="eastAsia"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r>
        <w:rPr>
          <w:rFonts w:hint="eastAsia" w:ascii="黑体" w:hAnsi="宋体" w:eastAsia="黑体"/>
          <w:sz w:val="24"/>
        </w:rPr>
        <w:t xml:space="preserve"> </w:t>
      </w:r>
    </w:p>
    <w:p>
      <w:pPr>
        <w:snapToGrid w:val="0"/>
        <w:spacing w:line="288" w:lineRule="auto"/>
        <w:ind w:firstLine="400" w:firstLineChars="200"/>
        <w:rPr>
          <w:rFonts w:hint="eastAsia"/>
          <w:color w:val="000000"/>
          <w:sz w:val="20"/>
          <w:szCs w:val="20"/>
        </w:rPr>
      </w:pPr>
      <w:r>
        <w:rPr>
          <w:rFonts w:hint="eastAsia"/>
          <w:color w:val="000000"/>
          <w:sz w:val="20"/>
          <w:szCs w:val="20"/>
        </w:rPr>
        <w:t>本课程建议学前教育专业的一年级上学期学生修课，可以开辟钢琴与弹唱学习的道路，拓宽艺术视野，提高个人综合素养。</w:t>
      </w:r>
    </w:p>
    <w:p>
      <w:pPr>
        <w:widowControl/>
        <w:numPr>
          <w:ilvl w:val="0"/>
          <w:numId w:val="1"/>
        </w:numPr>
        <w:spacing w:before="156" w:beforeLines="50" w:after="156" w:afterLines="50" w:line="288" w:lineRule="auto"/>
        <w:ind w:firstLine="360" w:firstLineChars="150"/>
        <w:jc w:val="left"/>
        <w:rPr>
          <w:rFonts w:hint="eastAsia"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r>
        <w:rPr>
          <w:rFonts w:hint="eastAsia" w:ascii="黑体" w:hAnsi="宋体" w:eastAsia="黑体"/>
          <w:sz w:val="24"/>
        </w:rPr>
        <w:t xml:space="preserve"> </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c>
          <w:tcPr>
            <w:tcW w:w="6803" w:type="dxa"/>
            <w:vAlign w:val="center"/>
          </w:tcPr>
          <w:p>
            <w:pPr>
              <w:tabs>
                <w:tab w:val="left" w:pos="4200"/>
              </w:tabs>
              <w:adjustRightInd w:val="0"/>
              <w:snapToGrid w:val="0"/>
              <w:spacing w:line="264" w:lineRule="auto"/>
              <w:jc w:val="both"/>
              <w:outlineLvl w:val="1"/>
              <w:rPr>
                <w:rFonts w:hint="eastAsia" w:asciiTheme="minorEastAsia" w:hAnsiTheme="minorEastAsia" w:eastAsiaTheme="minorEastAsia"/>
                <w:bCs/>
                <w:sz w:val="20"/>
                <w:szCs w:val="18"/>
              </w:rPr>
            </w:pPr>
            <w:r>
              <w:rPr>
                <w:rFonts w:hint="eastAsia" w:asciiTheme="minorEastAsia" w:hAnsiTheme="minorEastAsia" w:eastAsiaTheme="minorEastAsia"/>
                <w:b/>
                <w:sz w:val="20"/>
                <w:szCs w:val="18"/>
                <w:lang w:eastAsia="zh-CN"/>
              </w:rPr>
              <w:t>LO</w:t>
            </w:r>
            <w:r>
              <w:rPr>
                <w:rFonts w:hint="eastAsia" w:asciiTheme="minorEastAsia" w:hAnsiTheme="minorEastAsia" w:eastAsiaTheme="minorEastAsia"/>
                <w:b/>
                <w:sz w:val="20"/>
                <w:szCs w:val="18"/>
              </w:rPr>
              <w:t>11</w:t>
            </w:r>
            <w:r>
              <w:rPr>
                <w:rFonts w:hint="eastAsia" w:asciiTheme="minorEastAsia" w:hAnsiTheme="minorEastAsia" w:eastAsiaTheme="minorEastAsia"/>
                <w:bCs/>
                <w:sz w:val="20"/>
                <w:szCs w:val="18"/>
              </w:rPr>
              <w:t>专业伦理：认同社会主义核心价值观；理解与践行学前教育核心价值；明确与践行幼儿园教师保教行为规范。</w:t>
            </w:r>
          </w:p>
        </w:tc>
        <w:tc>
          <w:tcPr>
            <w:tcW w:w="727" w:type="dxa"/>
            <w:vAlign w:val="center"/>
          </w:tcPr>
          <w:p>
            <w:pPr>
              <w:jc w:val="center"/>
              <w:rPr>
                <w:rFonts w:ascii="仿宋" w:hAnsi="仿宋" w:eastAsia="仿宋" w:cs="宋体"/>
                <w:color w:val="000000"/>
                <w:kern w:val="0"/>
                <w:sz w:val="24"/>
                <w:szCs w:val="20"/>
              </w:rPr>
            </w:pPr>
          </w:p>
        </w:tc>
      </w:tr>
      <w:tr>
        <w:tc>
          <w:tcPr>
            <w:tcW w:w="6803" w:type="dxa"/>
            <w:vAlign w:val="center"/>
          </w:tcPr>
          <w:p>
            <w:pPr>
              <w:tabs>
                <w:tab w:val="left" w:pos="4200"/>
              </w:tabs>
              <w:adjustRightInd w:val="0"/>
              <w:snapToGrid w:val="0"/>
              <w:spacing w:line="264" w:lineRule="auto"/>
              <w:jc w:val="both"/>
              <w:outlineLvl w:val="1"/>
              <w:rPr>
                <w:rFonts w:hint="eastAsia" w:asciiTheme="minorEastAsia" w:hAnsiTheme="minorEastAsia" w:eastAsiaTheme="minorEastAsia"/>
                <w:b w:val="0"/>
                <w:bCs/>
                <w:sz w:val="20"/>
                <w:szCs w:val="18"/>
                <w:lang w:eastAsia="zh-CN"/>
              </w:rPr>
            </w:pPr>
            <w:r>
              <w:rPr>
                <w:rFonts w:hint="eastAsia" w:asciiTheme="minorEastAsia" w:hAnsiTheme="minorEastAsia" w:eastAsiaTheme="minorEastAsia"/>
                <w:b/>
                <w:bCs w:val="0"/>
                <w:sz w:val="20"/>
                <w:szCs w:val="18"/>
                <w:lang w:eastAsia="zh-CN"/>
              </w:rPr>
              <w:t>LO12</w:t>
            </w:r>
            <w:r>
              <w:rPr>
                <w:rFonts w:hint="eastAsia" w:asciiTheme="minorEastAsia" w:hAnsiTheme="minorEastAsia" w:eastAsiaTheme="minorEastAsia"/>
                <w:b w:val="0"/>
                <w:bCs/>
                <w:sz w:val="20"/>
                <w:szCs w:val="18"/>
                <w:lang w:eastAsia="zh-CN"/>
              </w:rPr>
              <w:t xml:space="preserve"> 教育情怀:增强专业认同感和使命感；具有人文底蕴、生命关怀和科学精神；践行幼儿为本和爱与自由理念。</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c>
          <w:tcPr>
            <w:tcW w:w="6803" w:type="dxa"/>
            <w:vAlign w:val="center"/>
          </w:tcPr>
          <w:p>
            <w:pPr>
              <w:tabs>
                <w:tab w:val="left" w:pos="4200"/>
              </w:tabs>
              <w:adjustRightInd w:val="0"/>
              <w:snapToGrid w:val="0"/>
              <w:spacing w:line="264" w:lineRule="auto"/>
              <w:jc w:val="both"/>
              <w:outlineLvl w:val="1"/>
              <w:rPr>
                <w:rFonts w:hint="eastAsia" w:asciiTheme="minorEastAsia" w:hAnsiTheme="minorEastAsia" w:eastAsiaTheme="minorEastAsia"/>
                <w:b w:val="0"/>
                <w:bCs/>
                <w:sz w:val="20"/>
                <w:szCs w:val="18"/>
                <w:lang w:eastAsia="zh-CN"/>
              </w:rPr>
            </w:pPr>
            <w:r>
              <w:rPr>
                <w:rFonts w:hint="eastAsia" w:asciiTheme="minorEastAsia" w:hAnsiTheme="minorEastAsia" w:eastAsiaTheme="minorEastAsia"/>
                <w:b/>
                <w:bCs w:val="0"/>
                <w:sz w:val="20"/>
                <w:szCs w:val="18"/>
                <w:lang w:eastAsia="zh-CN"/>
              </w:rPr>
              <w:t>LO21</w:t>
            </w:r>
            <w:r>
              <w:rPr>
                <w:rFonts w:hint="eastAsia" w:asciiTheme="minorEastAsia" w:hAnsiTheme="minorEastAsia" w:eastAsiaTheme="minorEastAsia"/>
                <w:b w:val="0"/>
                <w:bCs/>
                <w:sz w:val="20"/>
                <w:szCs w:val="18"/>
                <w:lang w:eastAsia="zh-CN"/>
              </w:rPr>
              <w:t>儿童研究：掌握儿童发展、儿童研究的基本理论；具备现场观察、记录、分析幼儿的意识和能力；具备评价幼儿园教育活动的能力。</w:t>
            </w:r>
          </w:p>
        </w:tc>
        <w:tc>
          <w:tcPr>
            <w:tcW w:w="727" w:type="dxa"/>
            <w:vAlign w:val="center"/>
          </w:tcPr>
          <w:p>
            <w:pPr>
              <w:widowControl/>
              <w:jc w:val="center"/>
              <w:rPr>
                <w:rFonts w:ascii="仿宋" w:hAnsi="仿宋" w:eastAsia="仿宋" w:cs="宋体"/>
                <w:color w:val="000000"/>
                <w:kern w:val="0"/>
                <w:sz w:val="24"/>
                <w:szCs w:val="20"/>
              </w:rPr>
            </w:pPr>
          </w:p>
        </w:tc>
      </w:tr>
      <w:tr>
        <w:tc>
          <w:tcPr>
            <w:tcW w:w="6803" w:type="dxa"/>
            <w:vAlign w:val="center"/>
          </w:tcPr>
          <w:p>
            <w:pPr>
              <w:tabs>
                <w:tab w:val="left" w:pos="4200"/>
              </w:tabs>
              <w:adjustRightInd w:val="0"/>
              <w:snapToGrid w:val="0"/>
              <w:spacing w:line="264" w:lineRule="auto"/>
              <w:jc w:val="both"/>
              <w:outlineLvl w:val="1"/>
              <w:rPr>
                <w:rFonts w:hint="eastAsia" w:asciiTheme="minorEastAsia" w:hAnsiTheme="minorEastAsia" w:eastAsiaTheme="minorEastAsia"/>
                <w:b w:val="0"/>
                <w:bCs/>
                <w:sz w:val="20"/>
                <w:szCs w:val="18"/>
                <w:lang w:eastAsia="zh-CN"/>
              </w:rPr>
            </w:pPr>
            <w:r>
              <w:rPr>
                <w:rFonts w:hint="eastAsia" w:asciiTheme="minorEastAsia" w:hAnsiTheme="minorEastAsia" w:eastAsiaTheme="minorEastAsia"/>
                <w:b/>
                <w:bCs w:val="0"/>
                <w:sz w:val="20"/>
                <w:szCs w:val="18"/>
                <w:lang w:eastAsia="zh-CN"/>
              </w:rPr>
              <w:t>LO22</w:t>
            </w:r>
            <w:r>
              <w:rPr>
                <w:rFonts w:hint="eastAsia" w:asciiTheme="minorEastAsia" w:hAnsiTheme="minorEastAsia" w:eastAsiaTheme="minorEastAsia"/>
                <w:b w:val="0"/>
                <w:bCs/>
                <w:sz w:val="20"/>
                <w:szCs w:val="18"/>
                <w:lang w:eastAsia="zh-CN"/>
              </w:rPr>
              <w:t>保教能力：把握幼儿生理、心理特点；掌握幼儿园保育和教育的基本知识和方法；熟悉五大领域知识并能合理运用于综合活动中。</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c>
          <w:tcPr>
            <w:tcW w:w="6803" w:type="dxa"/>
            <w:vAlign w:val="center"/>
          </w:tcPr>
          <w:p>
            <w:pPr>
              <w:tabs>
                <w:tab w:val="left" w:pos="4200"/>
              </w:tabs>
              <w:adjustRightInd w:val="0"/>
              <w:snapToGrid w:val="0"/>
              <w:spacing w:line="264" w:lineRule="auto"/>
              <w:jc w:val="both"/>
              <w:outlineLvl w:val="1"/>
              <w:rPr>
                <w:rFonts w:hint="eastAsia" w:asciiTheme="minorEastAsia" w:hAnsiTheme="minorEastAsia" w:eastAsiaTheme="minorEastAsia"/>
                <w:b w:val="0"/>
                <w:bCs/>
                <w:sz w:val="20"/>
                <w:szCs w:val="18"/>
                <w:lang w:eastAsia="zh-CN"/>
              </w:rPr>
            </w:pPr>
            <w:r>
              <w:rPr>
                <w:rFonts w:hint="eastAsia" w:asciiTheme="minorEastAsia" w:hAnsiTheme="minorEastAsia" w:eastAsiaTheme="minorEastAsia"/>
                <w:b/>
                <w:bCs w:val="0"/>
                <w:sz w:val="20"/>
                <w:szCs w:val="18"/>
                <w:lang w:eastAsia="zh-CN"/>
              </w:rPr>
              <w:t>LO23</w:t>
            </w:r>
            <w:r>
              <w:rPr>
                <w:rFonts w:hint="eastAsia" w:asciiTheme="minorEastAsia" w:hAnsiTheme="minorEastAsia" w:eastAsiaTheme="minorEastAsia"/>
                <w:b w:val="0"/>
                <w:bCs/>
                <w:sz w:val="20"/>
                <w:szCs w:val="18"/>
                <w:lang w:eastAsia="zh-CN"/>
              </w:rPr>
              <w:t>环境创设：充分认识大自然、大社会对幼儿发展的价值；具备创设有准备的环境的知识和能力；具备幼儿与环境互动质量的评价能力。</w:t>
            </w:r>
          </w:p>
        </w:tc>
        <w:tc>
          <w:tcPr>
            <w:tcW w:w="727" w:type="dxa"/>
            <w:vAlign w:val="center"/>
          </w:tcPr>
          <w:p>
            <w:pPr>
              <w:widowControl/>
              <w:jc w:val="center"/>
              <w:rPr>
                <w:rFonts w:ascii="仿宋" w:hAnsi="仿宋" w:eastAsia="仿宋" w:cs="宋体"/>
                <w:color w:val="000000"/>
                <w:kern w:val="0"/>
                <w:sz w:val="24"/>
                <w:szCs w:val="20"/>
              </w:rPr>
            </w:pPr>
          </w:p>
        </w:tc>
      </w:tr>
      <w:tr>
        <w:tc>
          <w:tcPr>
            <w:tcW w:w="6803" w:type="dxa"/>
            <w:vAlign w:val="center"/>
          </w:tcPr>
          <w:p>
            <w:pPr>
              <w:tabs>
                <w:tab w:val="left" w:pos="4200"/>
              </w:tabs>
              <w:adjustRightInd w:val="0"/>
              <w:snapToGrid w:val="0"/>
              <w:spacing w:line="264" w:lineRule="auto"/>
              <w:jc w:val="both"/>
              <w:outlineLvl w:val="1"/>
              <w:rPr>
                <w:rFonts w:hint="eastAsia" w:asciiTheme="minorEastAsia" w:hAnsiTheme="minorEastAsia" w:eastAsiaTheme="minorEastAsia"/>
                <w:b w:val="0"/>
                <w:bCs/>
                <w:sz w:val="20"/>
                <w:szCs w:val="18"/>
                <w:lang w:eastAsia="zh-CN"/>
              </w:rPr>
            </w:pPr>
            <w:r>
              <w:rPr>
                <w:rFonts w:hint="eastAsia" w:asciiTheme="minorEastAsia" w:hAnsiTheme="minorEastAsia" w:eastAsiaTheme="minorEastAsia"/>
                <w:b/>
                <w:bCs w:val="0"/>
                <w:sz w:val="20"/>
                <w:szCs w:val="18"/>
                <w:lang w:eastAsia="zh-CN"/>
              </w:rPr>
              <w:t>LO31</w:t>
            </w:r>
            <w:r>
              <w:rPr>
                <w:rFonts w:hint="eastAsia" w:asciiTheme="minorEastAsia" w:hAnsiTheme="minorEastAsia" w:eastAsiaTheme="minorEastAsia"/>
                <w:b w:val="0"/>
                <w:bCs/>
                <w:sz w:val="20"/>
                <w:szCs w:val="18"/>
                <w:lang w:eastAsia="zh-CN"/>
              </w:rPr>
              <w:t>班级管理:能引导幼儿建立班级的秩序与规则；能营造愉悦、尊重、平等、积极的班级氛围；有以班级为纽带调动家庭和社区资源的意识和能力。</w:t>
            </w:r>
          </w:p>
        </w:tc>
        <w:tc>
          <w:tcPr>
            <w:tcW w:w="727" w:type="dxa"/>
            <w:vAlign w:val="center"/>
          </w:tcPr>
          <w:p>
            <w:pPr>
              <w:widowControl/>
              <w:jc w:val="center"/>
              <w:rPr>
                <w:rFonts w:ascii="仿宋" w:hAnsi="仿宋" w:eastAsia="仿宋" w:cs="宋体"/>
                <w:color w:val="000000"/>
                <w:kern w:val="0"/>
                <w:sz w:val="24"/>
                <w:szCs w:val="20"/>
              </w:rPr>
            </w:pPr>
          </w:p>
        </w:tc>
      </w:tr>
      <w:tr>
        <w:tc>
          <w:tcPr>
            <w:tcW w:w="6803" w:type="dxa"/>
            <w:vAlign w:val="center"/>
          </w:tcPr>
          <w:p>
            <w:pPr>
              <w:tabs>
                <w:tab w:val="left" w:pos="4200"/>
              </w:tabs>
              <w:adjustRightInd w:val="0"/>
              <w:snapToGrid w:val="0"/>
              <w:spacing w:line="264" w:lineRule="auto"/>
              <w:jc w:val="both"/>
              <w:outlineLvl w:val="1"/>
              <w:rPr>
                <w:rFonts w:hint="eastAsia" w:asciiTheme="minorEastAsia" w:hAnsiTheme="minorEastAsia" w:eastAsiaTheme="minorEastAsia"/>
                <w:b w:val="0"/>
                <w:bCs/>
                <w:sz w:val="20"/>
                <w:szCs w:val="18"/>
                <w:lang w:eastAsia="zh-CN"/>
              </w:rPr>
            </w:pPr>
            <w:r>
              <w:rPr>
                <w:rFonts w:hint="eastAsia" w:asciiTheme="minorEastAsia" w:hAnsiTheme="minorEastAsia" w:eastAsiaTheme="minorEastAsia"/>
                <w:b/>
                <w:bCs w:val="0"/>
                <w:sz w:val="20"/>
                <w:szCs w:val="18"/>
                <w:lang w:eastAsia="zh-CN"/>
              </w:rPr>
              <w:t>LO32</w:t>
            </w:r>
            <w:r>
              <w:rPr>
                <w:rFonts w:hint="eastAsia" w:asciiTheme="minorEastAsia" w:hAnsiTheme="minorEastAsia" w:eastAsiaTheme="minorEastAsia"/>
                <w:b w:val="0"/>
                <w:bCs/>
                <w:sz w:val="20"/>
                <w:szCs w:val="18"/>
                <w:lang w:eastAsia="zh-CN"/>
              </w:rPr>
              <w:t>综合活动:充分认识一日生活的课程价值；具备以游戏为幼儿园基本活动的意识和能力；具有整合幼儿园、家庭与社区资源的能力。</w:t>
            </w:r>
          </w:p>
        </w:tc>
        <w:tc>
          <w:tcPr>
            <w:tcW w:w="727" w:type="dxa"/>
            <w:vAlign w:val="center"/>
          </w:tcPr>
          <w:p>
            <w:pPr>
              <w:widowControl/>
              <w:jc w:val="center"/>
              <w:rPr>
                <w:rFonts w:ascii="仿宋" w:hAnsi="仿宋" w:eastAsia="仿宋" w:cs="宋体"/>
                <w:color w:val="000000"/>
                <w:kern w:val="0"/>
                <w:sz w:val="24"/>
                <w:szCs w:val="20"/>
              </w:rPr>
            </w:pPr>
          </w:p>
        </w:tc>
      </w:tr>
      <w:tr>
        <w:tc>
          <w:tcPr>
            <w:tcW w:w="6803" w:type="dxa"/>
            <w:vAlign w:val="center"/>
          </w:tcPr>
          <w:p>
            <w:pPr>
              <w:tabs>
                <w:tab w:val="left" w:pos="4200"/>
              </w:tabs>
              <w:adjustRightInd w:val="0"/>
              <w:snapToGrid w:val="0"/>
              <w:spacing w:line="264" w:lineRule="auto"/>
              <w:jc w:val="both"/>
              <w:outlineLvl w:val="1"/>
              <w:rPr>
                <w:rFonts w:hint="eastAsia" w:asciiTheme="minorEastAsia" w:hAnsiTheme="minorEastAsia" w:eastAsiaTheme="minorEastAsia"/>
                <w:b w:val="0"/>
                <w:bCs/>
                <w:sz w:val="20"/>
                <w:szCs w:val="18"/>
                <w:lang w:eastAsia="zh-CN"/>
              </w:rPr>
            </w:pPr>
            <w:r>
              <w:rPr>
                <w:rFonts w:hint="eastAsia" w:asciiTheme="minorEastAsia" w:hAnsiTheme="minorEastAsia" w:eastAsiaTheme="minorEastAsia"/>
                <w:b/>
                <w:bCs w:val="0"/>
                <w:sz w:val="20"/>
                <w:szCs w:val="18"/>
                <w:lang w:eastAsia="zh-CN"/>
              </w:rPr>
              <w:t>LO41</w:t>
            </w:r>
            <w:r>
              <w:rPr>
                <w:rFonts w:hint="eastAsia" w:asciiTheme="minorEastAsia" w:hAnsiTheme="minorEastAsia" w:eastAsiaTheme="minorEastAsia"/>
                <w:b w:val="0"/>
                <w:bCs/>
                <w:sz w:val="20"/>
                <w:szCs w:val="18"/>
                <w:lang w:eastAsia="zh-CN"/>
              </w:rPr>
              <w:t>反思精神:养成主动学习、批判性思考的习惯和品格；具有自我反思和引导幼儿反思的意识和能力；具有创造性解决问题的意识与能力。</w:t>
            </w:r>
          </w:p>
        </w:tc>
        <w:tc>
          <w:tcPr>
            <w:tcW w:w="727" w:type="dxa"/>
            <w:vAlign w:val="center"/>
          </w:tcPr>
          <w:p>
            <w:pPr>
              <w:widowControl/>
              <w:jc w:val="center"/>
              <w:rPr>
                <w:rFonts w:ascii="仿宋" w:hAnsi="仿宋" w:eastAsia="仿宋" w:cs="宋体"/>
                <w:color w:val="000000"/>
                <w:kern w:val="0"/>
                <w:sz w:val="24"/>
                <w:szCs w:val="20"/>
              </w:rPr>
            </w:pPr>
          </w:p>
        </w:tc>
      </w:tr>
      <w:tr>
        <w:tc>
          <w:tcPr>
            <w:tcW w:w="6803" w:type="dxa"/>
            <w:vAlign w:val="center"/>
          </w:tcPr>
          <w:p>
            <w:pPr>
              <w:tabs>
                <w:tab w:val="left" w:pos="4200"/>
              </w:tabs>
              <w:adjustRightInd w:val="0"/>
              <w:snapToGrid w:val="0"/>
              <w:spacing w:line="264" w:lineRule="auto"/>
              <w:jc w:val="both"/>
              <w:outlineLvl w:val="1"/>
              <w:rPr>
                <w:rFonts w:hint="eastAsia" w:asciiTheme="minorEastAsia" w:hAnsiTheme="minorEastAsia" w:eastAsiaTheme="minorEastAsia"/>
                <w:b w:val="0"/>
                <w:bCs/>
                <w:sz w:val="20"/>
                <w:szCs w:val="18"/>
                <w:lang w:eastAsia="zh-CN"/>
              </w:rPr>
            </w:pPr>
            <w:r>
              <w:rPr>
                <w:rFonts w:hint="eastAsia" w:asciiTheme="minorEastAsia" w:hAnsiTheme="minorEastAsia" w:eastAsiaTheme="minorEastAsia"/>
                <w:b/>
                <w:bCs w:val="0"/>
                <w:sz w:val="20"/>
                <w:szCs w:val="18"/>
                <w:lang w:eastAsia="zh-CN"/>
              </w:rPr>
              <w:t>LO42</w:t>
            </w:r>
            <w:r>
              <w:rPr>
                <w:rFonts w:hint="eastAsia" w:asciiTheme="minorEastAsia" w:hAnsiTheme="minorEastAsia" w:eastAsiaTheme="minorEastAsia"/>
                <w:b w:val="0"/>
                <w:bCs/>
                <w:sz w:val="20"/>
                <w:szCs w:val="18"/>
                <w:lang w:eastAsia="zh-CN"/>
              </w:rPr>
              <w:t>国际视野:有参与国际教育交流的意识和能力；把握学前教育改革发展趋势和前沿动态；有分析和借鉴国际教育理念与实践的能力。</w:t>
            </w:r>
          </w:p>
        </w:tc>
        <w:tc>
          <w:tcPr>
            <w:tcW w:w="727" w:type="dxa"/>
            <w:vAlign w:val="center"/>
          </w:tcPr>
          <w:p>
            <w:pPr>
              <w:widowControl/>
              <w:jc w:val="center"/>
              <w:rPr>
                <w:rFonts w:ascii="仿宋" w:hAnsi="仿宋" w:eastAsia="仿宋" w:cs="宋体"/>
                <w:color w:val="000000"/>
                <w:kern w:val="0"/>
                <w:sz w:val="24"/>
                <w:szCs w:val="20"/>
              </w:rPr>
            </w:pPr>
          </w:p>
        </w:tc>
      </w:tr>
      <w:tr>
        <w:tc>
          <w:tcPr>
            <w:tcW w:w="6803" w:type="dxa"/>
            <w:vAlign w:val="center"/>
          </w:tcPr>
          <w:p>
            <w:pPr>
              <w:tabs>
                <w:tab w:val="left" w:pos="4200"/>
              </w:tabs>
              <w:adjustRightInd w:val="0"/>
              <w:snapToGrid w:val="0"/>
              <w:spacing w:line="264" w:lineRule="auto"/>
              <w:jc w:val="both"/>
              <w:outlineLvl w:val="1"/>
              <w:rPr>
                <w:rFonts w:hint="eastAsia" w:asciiTheme="minorEastAsia" w:hAnsiTheme="minorEastAsia" w:eastAsiaTheme="minorEastAsia"/>
                <w:b w:val="0"/>
                <w:bCs/>
                <w:sz w:val="20"/>
                <w:szCs w:val="18"/>
                <w:lang w:eastAsia="zh-CN"/>
              </w:rPr>
            </w:pPr>
            <w:r>
              <w:rPr>
                <w:rFonts w:hint="eastAsia" w:asciiTheme="minorEastAsia" w:hAnsiTheme="minorEastAsia" w:eastAsiaTheme="minorEastAsia"/>
                <w:b/>
                <w:bCs w:val="0"/>
                <w:sz w:val="20"/>
                <w:szCs w:val="18"/>
                <w:lang w:eastAsia="zh-CN"/>
              </w:rPr>
              <w:t>LO43</w:t>
            </w:r>
            <w:r>
              <w:rPr>
                <w:rFonts w:hint="eastAsia" w:asciiTheme="minorEastAsia" w:hAnsiTheme="minorEastAsia" w:eastAsiaTheme="minorEastAsia"/>
                <w:b w:val="0"/>
                <w:bCs/>
                <w:sz w:val="20"/>
                <w:szCs w:val="18"/>
                <w:lang w:eastAsia="zh-CN"/>
              </w:rPr>
              <w:t>交流合作：具有团队协作精神，认同学习共同体的价值；掌握沟通合作的技能；有参与、组织专业团队开展合作学习的意识和能力。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bl>
    <w:p>
      <w:pPr>
        <w:widowControl/>
        <w:spacing w:before="156" w:beforeLines="50" w:after="156" w:afterLines="50" w:line="288" w:lineRule="auto"/>
        <w:ind w:firstLine="360" w:firstLineChars="150"/>
        <w:jc w:val="left"/>
        <w:rPr>
          <w:rFonts w:hint="eastAsia"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 xml:space="preserve">目标/课程预期学习成果 </w:t>
      </w:r>
    </w:p>
    <w:tbl>
      <w:tblPr>
        <w:tblStyle w:val="4"/>
        <w:tblpPr w:leftFromText="180" w:rightFromText="180" w:vertAnchor="text" w:horzAnchor="page" w:tblpX="2163" w:tblpY="152"/>
        <w:tblOverlap w:val="never"/>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526"/>
      </w:tblGrid>
      <w:tr>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52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175" w:type="dxa"/>
            <w:shd w:val="clear" w:color="auto" w:fill="auto"/>
          </w:tcPr>
          <w:p>
            <w:pPr>
              <w:snapToGrid w:val="0"/>
              <w:spacing w:line="288" w:lineRule="auto"/>
              <w:jc w:val="center"/>
              <w:rPr>
                <w:color w:val="000000"/>
                <w:sz w:val="20"/>
                <w:szCs w:val="20"/>
              </w:rPr>
            </w:pPr>
            <w:r>
              <w:rPr>
                <w:rFonts w:hint="eastAsia" w:asciiTheme="minorEastAsia" w:hAnsiTheme="minorEastAsia" w:eastAsiaTheme="minorEastAsia"/>
                <w:b/>
                <w:sz w:val="20"/>
                <w:szCs w:val="18"/>
                <w:lang w:eastAsia="zh-CN"/>
              </w:rPr>
              <w:t>LO</w:t>
            </w:r>
            <w:r>
              <w:rPr>
                <w:rFonts w:hint="eastAsia" w:asciiTheme="minorEastAsia" w:hAnsiTheme="minorEastAsia" w:eastAsiaTheme="minorEastAsia"/>
                <w:b/>
                <w:sz w:val="20"/>
                <w:szCs w:val="18"/>
              </w:rPr>
              <w:t>122</w:t>
            </w:r>
            <w:r>
              <w:rPr>
                <w:color w:val="000000"/>
                <w:sz w:val="20"/>
                <w:szCs w:val="20"/>
              </w:rPr>
              <w:t xml:space="preserve"> </w:t>
            </w:r>
          </w:p>
        </w:tc>
        <w:tc>
          <w:tcPr>
            <w:tcW w:w="2470" w:type="dxa"/>
            <w:shd w:val="clear" w:color="auto" w:fill="auto"/>
            <w:vAlign w:val="center"/>
          </w:tcPr>
          <w:p>
            <w:pPr>
              <w:snapToGrid w:val="0"/>
              <w:spacing w:line="288" w:lineRule="auto"/>
              <w:jc w:val="left"/>
              <w:rPr>
                <w:color w:val="000000"/>
                <w:sz w:val="20"/>
                <w:szCs w:val="20"/>
              </w:rPr>
            </w:pPr>
            <w:r>
              <w:rPr>
                <w:rFonts w:hint="eastAsia"/>
                <w:color w:val="000000"/>
                <w:sz w:val="20"/>
                <w:szCs w:val="20"/>
              </w:rPr>
              <w:t>能够应用书面或口头形式，阐述钢琴与弹唱对学生综合素质培养及提升所产生的意义。</w:t>
            </w:r>
          </w:p>
        </w:tc>
        <w:tc>
          <w:tcPr>
            <w:tcW w:w="2199" w:type="dxa"/>
            <w:shd w:val="clear" w:color="auto" w:fill="auto"/>
            <w:vAlign w:val="center"/>
          </w:tcPr>
          <w:p>
            <w:pPr>
              <w:rPr>
                <w:color w:val="000000"/>
                <w:sz w:val="20"/>
                <w:szCs w:val="20"/>
              </w:rPr>
            </w:pPr>
            <w:r>
              <w:rPr>
                <w:rFonts w:hint="eastAsia"/>
                <w:color w:val="000000"/>
                <w:sz w:val="20"/>
                <w:szCs w:val="20"/>
              </w:rPr>
              <w:t>课堂运用答问及翻转课堂的方式让学生对课程的内容进行分析及弹唱。</w:t>
            </w:r>
          </w:p>
        </w:tc>
        <w:tc>
          <w:tcPr>
            <w:tcW w:w="1526" w:type="dxa"/>
            <w:shd w:val="clear" w:color="auto" w:fill="auto"/>
            <w:vAlign w:val="center"/>
          </w:tcPr>
          <w:p>
            <w:pPr>
              <w:rPr>
                <w:color w:val="000000"/>
                <w:sz w:val="20"/>
                <w:szCs w:val="20"/>
              </w:rPr>
            </w:pPr>
            <w:r>
              <w:rPr>
                <w:rFonts w:hint="eastAsia"/>
                <w:color w:val="000000"/>
                <w:sz w:val="20"/>
                <w:szCs w:val="20"/>
              </w:rPr>
              <w:t>课堂</w:t>
            </w:r>
            <w:r>
              <w:rPr>
                <w:color w:val="000000"/>
                <w:sz w:val="20"/>
                <w:szCs w:val="20"/>
              </w:rPr>
              <w:t>学生答疑情况</w:t>
            </w:r>
            <w:r>
              <w:rPr>
                <w:rFonts w:hint="eastAsia"/>
                <w:color w:val="000000"/>
                <w:sz w:val="20"/>
                <w:szCs w:val="20"/>
              </w:rPr>
              <w:t>评分。</w:t>
            </w:r>
          </w:p>
        </w:tc>
      </w:tr>
      <w:tr>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175" w:type="dxa"/>
            <w:shd w:val="clear" w:color="auto" w:fill="auto"/>
          </w:tcPr>
          <w:p>
            <w:pPr>
              <w:snapToGrid w:val="0"/>
              <w:spacing w:line="288" w:lineRule="auto"/>
              <w:jc w:val="center"/>
              <w:rPr>
                <w:color w:val="000000"/>
                <w:sz w:val="20"/>
                <w:szCs w:val="20"/>
              </w:rPr>
            </w:pPr>
            <w:r>
              <w:rPr>
                <w:rFonts w:hint="eastAsia"/>
                <w:color w:val="000000"/>
                <w:sz w:val="20"/>
                <w:szCs w:val="20"/>
                <w:lang w:eastAsia="zh-CN"/>
              </w:rPr>
              <w:t>LO</w:t>
            </w:r>
            <w:r>
              <w:rPr>
                <w:rFonts w:hint="eastAsia"/>
                <w:color w:val="000000"/>
                <w:sz w:val="20"/>
                <w:szCs w:val="20"/>
              </w:rPr>
              <w:t>1</w:t>
            </w:r>
            <w:r>
              <w:rPr>
                <w:color w:val="000000"/>
                <w:sz w:val="20"/>
                <w:szCs w:val="20"/>
              </w:rPr>
              <w:t>23</w:t>
            </w:r>
          </w:p>
        </w:tc>
        <w:tc>
          <w:tcPr>
            <w:tcW w:w="2470" w:type="dxa"/>
            <w:shd w:val="clear" w:color="auto" w:fill="auto"/>
            <w:vAlign w:val="center"/>
          </w:tcPr>
          <w:p>
            <w:pPr>
              <w:jc w:val="left"/>
              <w:rPr>
                <w:color w:val="000000"/>
                <w:sz w:val="20"/>
                <w:szCs w:val="20"/>
              </w:rPr>
            </w:pPr>
            <w:r>
              <w:rPr>
                <w:rFonts w:hint="eastAsia"/>
                <w:color w:val="000000"/>
                <w:sz w:val="20"/>
                <w:szCs w:val="20"/>
              </w:rPr>
              <w:t>能够解释并应用教师所提出的重难点，对幼儿练习曲进行分析及弹唱。</w:t>
            </w:r>
          </w:p>
        </w:tc>
        <w:tc>
          <w:tcPr>
            <w:tcW w:w="2199" w:type="dxa"/>
            <w:shd w:val="clear" w:color="auto" w:fill="auto"/>
            <w:vAlign w:val="center"/>
          </w:tcPr>
          <w:p>
            <w:pPr>
              <w:rPr>
                <w:color w:val="000000"/>
                <w:sz w:val="20"/>
                <w:szCs w:val="20"/>
              </w:rPr>
            </w:pPr>
            <w:r>
              <w:rPr>
                <w:rFonts w:hint="eastAsia"/>
                <w:color w:val="000000"/>
                <w:sz w:val="20"/>
                <w:szCs w:val="20"/>
              </w:rPr>
              <w:t>课堂采用小组模式，让学生沟通交流分享各自的看法。</w:t>
            </w:r>
          </w:p>
        </w:tc>
        <w:tc>
          <w:tcPr>
            <w:tcW w:w="1526" w:type="dxa"/>
            <w:shd w:val="clear" w:color="auto" w:fill="auto"/>
            <w:vAlign w:val="center"/>
          </w:tcPr>
          <w:p>
            <w:pPr>
              <w:rPr>
                <w:color w:val="000000"/>
                <w:sz w:val="20"/>
                <w:szCs w:val="20"/>
              </w:rPr>
            </w:pPr>
            <w:r>
              <w:rPr>
                <w:rFonts w:hint="eastAsia"/>
                <w:color w:val="000000"/>
                <w:sz w:val="20"/>
                <w:szCs w:val="20"/>
              </w:rPr>
              <w:t>课堂小组答疑情况评分。</w:t>
            </w:r>
          </w:p>
        </w:tc>
      </w:tr>
      <w:tr>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175" w:type="dxa"/>
            <w:shd w:val="clear" w:color="auto" w:fill="auto"/>
          </w:tcPr>
          <w:p>
            <w:pPr>
              <w:snapToGrid w:val="0"/>
              <w:spacing w:line="288" w:lineRule="auto"/>
              <w:jc w:val="center"/>
              <w:rPr>
                <w:color w:val="000000"/>
                <w:sz w:val="20"/>
                <w:szCs w:val="20"/>
              </w:rPr>
            </w:pPr>
            <w:r>
              <w:rPr>
                <w:rFonts w:hint="eastAsia"/>
                <w:color w:val="000000"/>
                <w:sz w:val="20"/>
                <w:szCs w:val="20"/>
                <w:lang w:eastAsia="zh-CN"/>
              </w:rPr>
              <w:t>LO</w:t>
            </w:r>
            <w:r>
              <w:rPr>
                <w:rFonts w:hint="eastAsia"/>
                <w:color w:val="000000"/>
                <w:sz w:val="20"/>
                <w:szCs w:val="20"/>
              </w:rPr>
              <w:t xml:space="preserve"> 2</w:t>
            </w:r>
            <w:r>
              <w:rPr>
                <w:color w:val="000000"/>
                <w:sz w:val="20"/>
                <w:szCs w:val="20"/>
              </w:rPr>
              <w:t>23</w:t>
            </w:r>
          </w:p>
        </w:tc>
        <w:tc>
          <w:tcPr>
            <w:tcW w:w="2470" w:type="dxa"/>
            <w:shd w:val="clear" w:color="auto" w:fill="auto"/>
            <w:vAlign w:val="center"/>
          </w:tcPr>
          <w:p>
            <w:pPr>
              <w:widowControl/>
              <w:jc w:val="left"/>
              <w:rPr>
                <w:color w:val="000000"/>
                <w:sz w:val="20"/>
                <w:szCs w:val="20"/>
              </w:rPr>
            </w:pPr>
            <w:r>
              <w:rPr>
                <w:rFonts w:hint="eastAsia"/>
                <w:color w:val="000000"/>
                <w:sz w:val="20"/>
                <w:szCs w:val="20"/>
              </w:rPr>
              <w:t>将五大领域中艺术知识合理应用于幼儿园综合活动中。</w:t>
            </w:r>
          </w:p>
        </w:tc>
        <w:tc>
          <w:tcPr>
            <w:tcW w:w="2199" w:type="dxa"/>
            <w:shd w:val="clear" w:color="auto" w:fill="auto"/>
            <w:vAlign w:val="center"/>
          </w:tcPr>
          <w:p>
            <w:pPr>
              <w:rPr>
                <w:color w:val="000000"/>
                <w:sz w:val="20"/>
                <w:szCs w:val="20"/>
              </w:rPr>
            </w:pPr>
            <w:r>
              <w:rPr>
                <w:rFonts w:hint="eastAsia"/>
                <w:color w:val="000000"/>
                <w:sz w:val="20"/>
                <w:szCs w:val="20"/>
              </w:rPr>
              <w:t>给予学生空间自主发挥优势选择适合的曲目，学生可根据自身情况制定对应的学习计划。</w:t>
            </w:r>
          </w:p>
        </w:tc>
        <w:tc>
          <w:tcPr>
            <w:tcW w:w="1526" w:type="dxa"/>
            <w:shd w:val="clear" w:color="auto" w:fill="auto"/>
            <w:vAlign w:val="center"/>
          </w:tcPr>
          <w:p>
            <w:pPr>
              <w:rPr>
                <w:color w:val="000000"/>
                <w:sz w:val="20"/>
                <w:szCs w:val="20"/>
              </w:rPr>
            </w:pPr>
            <w:r>
              <w:rPr>
                <w:rFonts w:hint="eastAsia"/>
                <w:color w:val="000000"/>
                <w:sz w:val="20"/>
                <w:szCs w:val="20"/>
              </w:rPr>
              <w:t>课堂小组展示情况评分。</w:t>
            </w:r>
          </w:p>
        </w:tc>
      </w:tr>
      <w:tr>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1175" w:type="dxa"/>
            <w:shd w:val="clear" w:color="auto" w:fill="auto"/>
          </w:tcPr>
          <w:p>
            <w:pPr>
              <w:snapToGrid w:val="0"/>
              <w:spacing w:line="288" w:lineRule="auto"/>
              <w:jc w:val="center"/>
              <w:rPr>
                <w:color w:val="000000"/>
                <w:sz w:val="20"/>
                <w:szCs w:val="20"/>
              </w:rPr>
            </w:pPr>
            <w:r>
              <w:rPr>
                <w:rFonts w:hint="eastAsia"/>
                <w:color w:val="000000"/>
                <w:sz w:val="20"/>
                <w:szCs w:val="20"/>
                <w:lang w:eastAsia="zh-CN"/>
              </w:rPr>
              <w:t>LO</w:t>
            </w:r>
            <w:r>
              <w:rPr>
                <w:color w:val="000000"/>
                <w:sz w:val="20"/>
                <w:szCs w:val="20"/>
              </w:rPr>
              <w:t xml:space="preserve"> 431</w:t>
            </w:r>
          </w:p>
        </w:tc>
        <w:tc>
          <w:tcPr>
            <w:tcW w:w="2470" w:type="dxa"/>
            <w:shd w:val="clear" w:color="auto" w:fill="auto"/>
            <w:vAlign w:val="center"/>
          </w:tcPr>
          <w:p>
            <w:pPr>
              <w:widowControl/>
              <w:jc w:val="left"/>
              <w:rPr>
                <w:sz w:val="20"/>
                <w:szCs w:val="20"/>
              </w:rPr>
            </w:pPr>
            <w:r>
              <w:rPr>
                <w:rFonts w:hint="eastAsia"/>
                <w:sz w:val="20"/>
                <w:szCs w:val="20"/>
              </w:rPr>
              <w:t>通过实施小组训练课题模式提升学生的团结协作能力。</w:t>
            </w:r>
          </w:p>
        </w:tc>
        <w:tc>
          <w:tcPr>
            <w:tcW w:w="2199" w:type="dxa"/>
            <w:shd w:val="clear" w:color="auto" w:fill="auto"/>
            <w:vAlign w:val="center"/>
          </w:tcPr>
          <w:p>
            <w:pPr>
              <w:rPr>
                <w:color w:val="000000"/>
                <w:sz w:val="20"/>
                <w:szCs w:val="20"/>
              </w:rPr>
            </w:pPr>
            <w:r>
              <w:rPr>
                <w:rFonts w:hint="eastAsia"/>
                <w:color w:val="000000"/>
                <w:sz w:val="20"/>
                <w:szCs w:val="20"/>
              </w:rPr>
              <w:t>课堂采用小组模式，让学生主动承担相应的责任，与同学协作完成展示。</w:t>
            </w:r>
          </w:p>
        </w:tc>
        <w:tc>
          <w:tcPr>
            <w:tcW w:w="1526" w:type="dxa"/>
            <w:shd w:val="clear" w:color="auto" w:fill="auto"/>
            <w:vAlign w:val="center"/>
          </w:tcPr>
          <w:p>
            <w:pPr>
              <w:rPr>
                <w:color w:val="000000"/>
                <w:sz w:val="20"/>
                <w:szCs w:val="20"/>
              </w:rPr>
            </w:pPr>
            <w:r>
              <w:rPr>
                <w:rFonts w:hint="eastAsia"/>
                <w:color w:val="000000"/>
                <w:sz w:val="20"/>
                <w:szCs w:val="20"/>
              </w:rPr>
              <w:t>课堂小组展示情况评分。</w:t>
            </w:r>
          </w:p>
        </w:tc>
      </w:tr>
      <w:tr>
        <w:trPr>
          <w:trHeight w:val="1402" w:hRule="atLeast"/>
        </w:trPr>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175" w:type="dxa"/>
            <w:shd w:val="clear" w:color="auto" w:fill="auto"/>
          </w:tcPr>
          <w:p>
            <w:pPr>
              <w:snapToGrid w:val="0"/>
              <w:spacing w:line="288" w:lineRule="auto"/>
              <w:jc w:val="center"/>
              <w:rPr>
                <w:color w:val="000000"/>
                <w:sz w:val="20"/>
                <w:szCs w:val="20"/>
              </w:rPr>
            </w:pPr>
            <w:r>
              <w:rPr>
                <w:rFonts w:hint="eastAsia"/>
                <w:color w:val="000000"/>
                <w:sz w:val="20"/>
                <w:szCs w:val="20"/>
                <w:lang w:eastAsia="zh-CN"/>
              </w:rPr>
              <w:t>LO</w:t>
            </w:r>
            <w:r>
              <w:rPr>
                <w:color w:val="000000"/>
                <w:sz w:val="20"/>
                <w:szCs w:val="20"/>
              </w:rPr>
              <w:t xml:space="preserve"> 433</w:t>
            </w:r>
          </w:p>
        </w:tc>
        <w:tc>
          <w:tcPr>
            <w:tcW w:w="2470" w:type="dxa"/>
            <w:shd w:val="clear" w:color="auto" w:fill="auto"/>
            <w:vAlign w:val="center"/>
          </w:tcPr>
          <w:p>
            <w:pPr>
              <w:widowControl/>
              <w:rPr>
                <w:sz w:val="20"/>
                <w:szCs w:val="20"/>
              </w:rPr>
            </w:pPr>
            <w:r>
              <w:rPr>
                <w:rFonts w:hint="eastAsia"/>
                <w:sz w:val="20"/>
                <w:szCs w:val="20"/>
              </w:rPr>
              <w:t>通过组织及策划专业汇演提高学生的团队合作学习的意识和能力。</w:t>
            </w:r>
          </w:p>
          <w:p>
            <w:pPr>
              <w:widowControl/>
              <w:rPr>
                <w:sz w:val="20"/>
                <w:szCs w:val="20"/>
              </w:rPr>
            </w:pPr>
          </w:p>
        </w:tc>
        <w:tc>
          <w:tcPr>
            <w:tcW w:w="2199" w:type="dxa"/>
            <w:shd w:val="clear" w:color="auto" w:fill="auto"/>
            <w:vAlign w:val="center"/>
          </w:tcPr>
          <w:p>
            <w:pPr>
              <w:rPr>
                <w:color w:val="000000"/>
                <w:sz w:val="20"/>
                <w:szCs w:val="20"/>
              </w:rPr>
            </w:pPr>
            <w:r>
              <w:rPr>
                <w:rFonts w:hint="eastAsia"/>
                <w:color w:val="000000"/>
                <w:sz w:val="20"/>
                <w:szCs w:val="20"/>
              </w:rPr>
              <w:t>课堂采用全班参与模式，让学生主动承担相应的责任，与同学协作完成展示。</w:t>
            </w:r>
          </w:p>
        </w:tc>
        <w:tc>
          <w:tcPr>
            <w:tcW w:w="1526" w:type="dxa"/>
            <w:shd w:val="clear" w:color="auto" w:fill="auto"/>
            <w:vAlign w:val="center"/>
          </w:tcPr>
          <w:p>
            <w:pPr>
              <w:rPr>
                <w:color w:val="000000"/>
                <w:sz w:val="20"/>
                <w:szCs w:val="20"/>
              </w:rPr>
            </w:pPr>
            <w:r>
              <w:rPr>
                <w:rFonts w:hint="eastAsia"/>
                <w:color w:val="000000"/>
                <w:sz w:val="20"/>
                <w:szCs w:val="20"/>
              </w:rPr>
              <w:t>汇演展示情况评分。</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r>
        <w:rPr>
          <w:rFonts w:hint="eastAsia" w:ascii="黑体" w:hAnsi="宋体" w:eastAsia="黑体"/>
          <w:sz w:val="24"/>
        </w:rPr>
        <w:t xml:space="preserve"> </w:t>
      </w:r>
    </w:p>
    <w:p>
      <w:pPr>
        <w:snapToGrid w:val="0"/>
        <w:spacing w:line="288" w:lineRule="auto"/>
        <w:ind w:firstLine="400" w:firstLineChars="200"/>
        <w:rPr>
          <w:rFonts w:ascii="宋体" w:hAnsi="宋体"/>
          <w:sz w:val="20"/>
          <w:szCs w:val="20"/>
        </w:rPr>
      </w:pPr>
    </w:p>
    <w:tbl>
      <w:tblPr>
        <w:tblStyle w:val="5"/>
        <w:tblW w:w="7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696"/>
        <w:gridCol w:w="1713"/>
        <w:gridCol w:w="1980"/>
        <w:gridCol w:w="1404"/>
      </w:tblGrid>
      <w:tr>
        <w:trPr>
          <w:jc w:val="center"/>
        </w:trPr>
        <w:tc>
          <w:tcPr>
            <w:tcW w:w="1020"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单元</w:t>
            </w:r>
          </w:p>
        </w:tc>
        <w:tc>
          <w:tcPr>
            <w:tcW w:w="1696" w:type="dxa"/>
            <w:vAlign w:val="center"/>
          </w:tcPr>
          <w:p>
            <w:pPr>
              <w:jc w:val="center"/>
              <w:rPr>
                <w:rFonts w:hint="eastAsia" w:asciiTheme="minorEastAsia" w:hAnsiTheme="minorEastAsia" w:eastAsiaTheme="minorEastAsia"/>
                <w:b/>
                <w:szCs w:val="21"/>
                <w:lang w:eastAsia="zh-CN"/>
              </w:rPr>
            </w:pPr>
            <w:r>
              <w:rPr>
                <w:rFonts w:hint="eastAsia" w:asciiTheme="minorEastAsia" w:hAnsiTheme="minorEastAsia" w:eastAsiaTheme="minorEastAsia"/>
                <w:b/>
                <w:szCs w:val="21"/>
                <w:lang w:val="en-US" w:eastAsia="zh-CN"/>
              </w:rPr>
              <w:t>知识目标</w:t>
            </w:r>
          </w:p>
        </w:tc>
        <w:tc>
          <w:tcPr>
            <w:tcW w:w="1713" w:type="dxa"/>
            <w:vAlign w:val="center"/>
          </w:tcPr>
          <w:p>
            <w:pPr>
              <w:jc w:val="center"/>
              <w:rPr>
                <w:rFonts w:hint="eastAsia" w:asciiTheme="minorEastAsia" w:hAnsiTheme="minorEastAsia" w:eastAsiaTheme="minorEastAsia"/>
                <w:b/>
                <w:szCs w:val="21"/>
                <w:lang w:eastAsia="zh-CN"/>
              </w:rPr>
            </w:pPr>
            <w:r>
              <w:rPr>
                <w:rFonts w:hint="eastAsia" w:asciiTheme="minorEastAsia" w:hAnsiTheme="minorEastAsia" w:eastAsiaTheme="minorEastAsia"/>
                <w:b/>
                <w:szCs w:val="21"/>
              </w:rPr>
              <w:t>能力</w:t>
            </w:r>
            <w:r>
              <w:rPr>
                <w:rFonts w:hint="eastAsia" w:asciiTheme="minorEastAsia" w:hAnsiTheme="minorEastAsia" w:eastAsiaTheme="minorEastAsia"/>
                <w:b/>
                <w:szCs w:val="21"/>
                <w:lang w:val="en-US" w:eastAsia="zh-CN"/>
              </w:rPr>
              <w:t>目标</w:t>
            </w:r>
          </w:p>
        </w:tc>
        <w:tc>
          <w:tcPr>
            <w:tcW w:w="1980" w:type="dxa"/>
            <w:vAlign w:val="center"/>
          </w:tcPr>
          <w:p>
            <w:pPr>
              <w:jc w:val="center"/>
              <w:rPr>
                <w:rFonts w:hint="eastAsia" w:asciiTheme="minorEastAsia" w:hAnsiTheme="minorEastAsia" w:eastAsiaTheme="minorEastAsia"/>
                <w:b/>
                <w:szCs w:val="21"/>
                <w:lang w:eastAsia="zh-CN"/>
              </w:rPr>
            </w:pPr>
            <w:r>
              <w:rPr>
                <w:rFonts w:hint="eastAsia" w:asciiTheme="minorEastAsia" w:hAnsiTheme="minorEastAsia" w:eastAsiaTheme="minorEastAsia"/>
                <w:b/>
                <w:szCs w:val="21"/>
                <w:lang w:val="en-US" w:eastAsia="zh-CN"/>
              </w:rPr>
              <w:t>情感目标</w:t>
            </w:r>
          </w:p>
        </w:tc>
        <w:tc>
          <w:tcPr>
            <w:tcW w:w="1404" w:type="dxa"/>
            <w:vAlign w:val="center"/>
          </w:tcPr>
          <w:p>
            <w:pPr>
              <w:jc w:val="center"/>
              <w:rPr>
                <w:rFonts w:hint="default"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教学难点</w:t>
            </w:r>
          </w:p>
        </w:tc>
      </w:tr>
      <w:tr>
        <w:trPr>
          <w:trHeight w:val="2651" w:hRule="atLeast"/>
          <w:jc w:val="center"/>
        </w:trPr>
        <w:tc>
          <w:tcPr>
            <w:tcW w:w="1020" w:type="dxa"/>
            <w:vAlign w:val="center"/>
          </w:tcPr>
          <w:p>
            <w:pPr>
              <w:jc w:val="center"/>
              <w:rPr>
                <w:rFonts w:asciiTheme="minorEastAsia" w:hAnsiTheme="minorEastAsia"/>
                <w:b/>
                <w:szCs w:val="21"/>
              </w:rPr>
            </w:pPr>
            <w:r>
              <w:rPr>
                <w:color w:val="000000"/>
              </w:rPr>
              <w:t>1.</w:t>
            </w:r>
            <w:r>
              <w:rPr>
                <w:rFonts w:hint="eastAsia"/>
                <w:color w:val="000000"/>
              </w:rPr>
              <w:t>钢琴</w:t>
            </w:r>
            <w:r>
              <w:rPr>
                <w:color w:val="000000"/>
              </w:rPr>
              <w:t>基础</w:t>
            </w:r>
            <w:r>
              <w:rPr>
                <w:rFonts w:hint="eastAsia"/>
                <w:color w:val="000000"/>
              </w:rPr>
              <w:t>知识（</w:t>
            </w:r>
            <w:r>
              <w:rPr>
                <w:color w:val="000000"/>
              </w:rPr>
              <w:t>2课时</w:t>
            </w:r>
            <w:r>
              <w:rPr>
                <w:rFonts w:hint="eastAsia"/>
                <w:color w:val="000000"/>
              </w:rPr>
              <w:t>理论加实践，分为1课时理论1课时实践</w:t>
            </w:r>
            <w:r>
              <w:rPr>
                <w:color w:val="000000"/>
              </w:rPr>
              <w:t>）</w:t>
            </w:r>
          </w:p>
        </w:tc>
        <w:tc>
          <w:tcPr>
            <w:tcW w:w="1696" w:type="dxa"/>
            <w:vAlign w:val="center"/>
          </w:tcPr>
          <w:p>
            <w:pPr>
              <w:widowControl/>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w:t>
            </w:r>
            <w:r>
              <w:rPr>
                <w:rFonts w:hint="eastAsia" w:cs="Arial" w:asciiTheme="minorEastAsia" w:hAnsiTheme="minorEastAsia" w:eastAsiaTheme="minorEastAsia"/>
                <w:kern w:val="0"/>
                <w:sz w:val="20"/>
                <w:szCs w:val="20"/>
                <w:lang w:val="en-US" w:eastAsia="zh-CN"/>
              </w:rPr>
              <w:t>分析区别并</w:t>
            </w:r>
            <w:r>
              <w:rPr>
                <w:rFonts w:hint="eastAsia" w:cs="Arial" w:asciiTheme="minorEastAsia" w:hAnsiTheme="minorEastAsia" w:eastAsiaTheme="minorEastAsia"/>
                <w:kern w:val="0"/>
                <w:sz w:val="20"/>
                <w:szCs w:val="20"/>
              </w:rPr>
              <w:t>认识</w:t>
            </w:r>
            <w:r>
              <w:rPr>
                <w:rFonts w:hint="eastAsia" w:cs="Arial" w:asciiTheme="minorEastAsia" w:hAnsiTheme="minorEastAsia" w:eastAsiaTheme="minorEastAsia"/>
                <w:kern w:val="0"/>
                <w:sz w:val="20"/>
                <w:szCs w:val="20"/>
                <w:lang w:val="en-US" w:eastAsia="zh-CN"/>
              </w:rPr>
              <w:t>钢琴键盘的组成</w:t>
            </w:r>
          </w:p>
          <w:p>
            <w:pPr>
              <w:widowControl/>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2.</w:t>
            </w:r>
            <w:r>
              <w:rPr>
                <w:rFonts w:hint="eastAsia" w:cs="Arial" w:asciiTheme="minorEastAsia" w:hAnsiTheme="minorEastAsia" w:eastAsiaTheme="minorEastAsia"/>
                <w:kern w:val="0"/>
                <w:sz w:val="20"/>
                <w:szCs w:val="20"/>
                <w:lang w:val="en-US" w:eastAsia="zh-CN"/>
              </w:rPr>
              <w:t>区别和分析</w:t>
            </w:r>
            <w:r>
              <w:rPr>
                <w:rFonts w:hint="eastAsia" w:cs="Arial" w:asciiTheme="minorEastAsia" w:hAnsiTheme="minorEastAsia" w:eastAsiaTheme="minorEastAsia"/>
                <w:kern w:val="0"/>
                <w:sz w:val="20"/>
                <w:szCs w:val="20"/>
              </w:rPr>
              <w:t>“断奏”的概念及弹奏技法</w:t>
            </w:r>
          </w:p>
          <w:p>
            <w:pPr>
              <w:widowControl/>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3.</w:t>
            </w:r>
            <w:r>
              <w:rPr>
                <w:rFonts w:hint="eastAsia" w:cs="Arial" w:asciiTheme="minorEastAsia" w:hAnsiTheme="minorEastAsia" w:eastAsiaTheme="minorEastAsia"/>
                <w:kern w:val="0"/>
                <w:sz w:val="20"/>
                <w:szCs w:val="20"/>
                <w:lang w:val="en-US" w:eastAsia="zh-CN"/>
              </w:rPr>
              <w:t>计划并组织学生进行</w:t>
            </w:r>
            <w:r>
              <w:rPr>
                <w:rFonts w:hint="eastAsia" w:cs="Arial" w:asciiTheme="minorEastAsia" w:hAnsiTheme="minorEastAsia" w:eastAsiaTheme="minorEastAsia"/>
                <w:kern w:val="0"/>
                <w:sz w:val="20"/>
                <w:szCs w:val="20"/>
              </w:rPr>
              <w:t>1、2、3指的非连奏练习</w:t>
            </w:r>
          </w:p>
          <w:p>
            <w:pPr>
              <w:rPr>
                <w:rFonts w:asciiTheme="minorEastAsia" w:hAnsiTheme="minorEastAsia" w:eastAsiaTheme="minorEastAsia"/>
                <w:color w:val="000000"/>
                <w:sz w:val="20"/>
                <w:szCs w:val="20"/>
              </w:rPr>
            </w:pPr>
            <w:r>
              <w:rPr>
                <w:rFonts w:hint="eastAsia" w:cs="Arial" w:asciiTheme="minorEastAsia" w:hAnsiTheme="minorEastAsia" w:eastAsiaTheme="minorEastAsia"/>
                <w:kern w:val="0"/>
                <w:sz w:val="20"/>
                <w:szCs w:val="20"/>
              </w:rPr>
              <w:t>4.</w:t>
            </w:r>
            <w:r>
              <w:rPr>
                <w:rFonts w:hint="eastAsia" w:cs="Arial" w:asciiTheme="minorEastAsia" w:hAnsiTheme="minorEastAsia" w:eastAsiaTheme="minorEastAsia"/>
                <w:kern w:val="0"/>
                <w:sz w:val="20"/>
                <w:szCs w:val="20"/>
                <w:lang w:val="en-US" w:eastAsia="zh-CN"/>
              </w:rPr>
              <w:t>组成小组进行</w:t>
            </w:r>
            <w:r>
              <w:rPr>
                <w:rFonts w:hint="eastAsia" w:cs="Arial" w:asciiTheme="minorEastAsia" w:hAnsiTheme="minorEastAsia" w:eastAsiaTheme="minorEastAsia"/>
                <w:kern w:val="0"/>
                <w:sz w:val="20"/>
                <w:szCs w:val="20"/>
              </w:rPr>
              <w:t>视唱及弹奏《玛丽有一头小羔羊》、《打电话》</w:t>
            </w:r>
          </w:p>
        </w:tc>
        <w:tc>
          <w:tcPr>
            <w:tcW w:w="1713" w:type="dxa"/>
            <w:vAlign w:val="center"/>
          </w:tcPr>
          <w:p>
            <w:pPr>
              <w:jc w:val="left"/>
              <w:rPr>
                <w:rFonts w:asciiTheme="minorEastAsia" w:hAnsiTheme="minorEastAsia" w:eastAsiaTheme="minorEastAsia"/>
                <w:color w:val="000000"/>
                <w:sz w:val="20"/>
                <w:szCs w:val="20"/>
              </w:rPr>
            </w:pPr>
            <w:r>
              <w:rPr>
                <w:rFonts w:asciiTheme="minorEastAsia" w:hAnsiTheme="minorEastAsia" w:eastAsiaTheme="minorEastAsia"/>
                <w:color w:val="000000"/>
                <w:sz w:val="20"/>
                <w:szCs w:val="20"/>
              </w:rPr>
              <w:t>1.</w:t>
            </w:r>
            <w:r>
              <w:rPr>
                <w:rFonts w:hint="eastAsia" w:asciiTheme="minorEastAsia" w:hAnsiTheme="minorEastAsia" w:eastAsiaTheme="minorEastAsia"/>
                <w:color w:val="000000"/>
                <w:sz w:val="20"/>
                <w:szCs w:val="20"/>
              </w:rPr>
              <w:t>能够认识键盘</w:t>
            </w:r>
          </w:p>
          <w:p>
            <w:pPr>
              <w:jc w:val="left"/>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w:t>
            </w:r>
            <w:r>
              <w:rPr>
                <w:rFonts w:asciiTheme="minorEastAsia" w:hAnsiTheme="minorEastAsia" w:eastAsiaTheme="minorEastAsia"/>
                <w:color w:val="000000"/>
                <w:sz w:val="20"/>
                <w:szCs w:val="20"/>
              </w:rPr>
              <w:t>.</w:t>
            </w:r>
            <w:r>
              <w:rPr>
                <w:rFonts w:hint="eastAsia" w:asciiTheme="minorEastAsia" w:hAnsiTheme="minorEastAsia" w:eastAsiaTheme="minorEastAsia"/>
                <w:color w:val="000000"/>
                <w:sz w:val="20"/>
                <w:szCs w:val="20"/>
              </w:rPr>
              <w:t>能够掌握正确的坐姿及弹琴手势</w:t>
            </w:r>
          </w:p>
          <w:p>
            <w:pPr>
              <w:jc w:val="left"/>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3.能够弹奏</w:t>
            </w:r>
            <w:r>
              <w:rPr>
                <w:rFonts w:hint="eastAsia" w:cs="Arial" w:asciiTheme="minorEastAsia" w:hAnsiTheme="minorEastAsia" w:eastAsiaTheme="minorEastAsia"/>
                <w:kern w:val="0"/>
                <w:sz w:val="20"/>
                <w:szCs w:val="20"/>
              </w:rPr>
              <w:t>《玛丽有一头小羔羊》</w:t>
            </w:r>
          </w:p>
        </w:tc>
        <w:tc>
          <w:tcPr>
            <w:tcW w:w="1980" w:type="dxa"/>
            <w:vAlign w:val="center"/>
          </w:tcPr>
          <w:p>
            <w:pPr>
              <w:rPr>
                <w:rFonts w:hint="default" w:asciiTheme="minorEastAsia" w:hAnsiTheme="minorEastAsia" w:eastAsiaTheme="minorEastAsia"/>
                <w:b/>
                <w:sz w:val="20"/>
                <w:szCs w:val="20"/>
                <w:lang w:val="en-US" w:eastAsia="zh-CN"/>
              </w:rPr>
            </w:pPr>
            <w:r>
              <w:rPr>
                <w:rFonts w:hint="eastAsia" w:asciiTheme="minorEastAsia" w:hAnsiTheme="minorEastAsia" w:eastAsiaTheme="minorEastAsia"/>
                <w:color w:val="000000"/>
                <w:sz w:val="20"/>
                <w:szCs w:val="20"/>
                <w:lang w:val="en-US" w:eastAsia="zh-CN"/>
              </w:rPr>
              <w:t>1.能够理解</w:t>
            </w:r>
            <w:r>
              <w:rPr>
                <w:rFonts w:hint="eastAsia" w:cs="Arial" w:asciiTheme="minorEastAsia" w:hAnsiTheme="minorEastAsia" w:eastAsiaTheme="minorEastAsia"/>
                <w:kern w:val="0"/>
                <w:sz w:val="20"/>
                <w:szCs w:val="20"/>
              </w:rPr>
              <w:t>《玛丽有一头小羔羊》</w:t>
            </w:r>
            <w:r>
              <w:rPr>
                <w:rFonts w:hint="eastAsia" w:cs="Arial" w:asciiTheme="minorEastAsia" w:hAnsiTheme="minorEastAsia" w:eastAsiaTheme="minorEastAsia"/>
                <w:kern w:val="0"/>
                <w:sz w:val="20"/>
                <w:szCs w:val="20"/>
                <w:lang w:val="en-US" w:eastAsia="zh-CN"/>
              </w:rPr>
              <w:t>弹唱歌曲的色彩情感，提升学前教育学生专业素养，对弹唱产生热爱。</w:t>
            </w:r>
          </w:p>
        </w:tc>
        <w:tc>
          <w:tcPr>
            <w:tcW w:w="1404" w:type="dxa"/>
            <w:vAlign w:val="center"/>
          </w:tcPr>
          <w:p>
            <w:pP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1.学生对键盘不熟练，容易找错音</w:t>
            </w:r>
          </w:p>
          <w:p>
            <w:pPr>
              <w:rPr>
                <w:rFonts w:asciiTheme="minorEastAsia" w:hAnsiTheme="minorEastAsia" w:eastAsiaTheme="minorEastAsia"/>
                <w:color w:val="000000"/>
                <w:sz w:val="20"/>
                <w:szCs w:val="20"/>
              </w:rPr>
            </w:pPr>
            <w:r>
              <w:rPr>
                <w:rFonts w:asciiTheme="minorEastAsia" w:hAnsiTheme="minorEastAsia" w:eastAsiaTheme="minorEastAsia"/>
                <w:color w:val="000000"/>
                <w:sz w:val="20"/>
                <w:szCs w:val="20"/>
              </w:rPr>
              <w:t>2.</w:t>
            </w:r>
            <w:r>
              <w:rPr>
                <w:rFonts w:hint="eastAsia" w:asciiTheme="minorEastAsia" w:hAnsiTheme="minorEastAsia" w:eastAsiaTheme="minorEastAsia"/>
                <w:color w:val="000000"/>
                <w:sz w:val="20"/>
                <w:szCs w:val="20"/>
              </w:rPr>
              <w:t>学生手型易发生改变</w:t>
            </w:r>
            <w:r>
              <w:rPr>
                <w:rFonts w:asciiTheme="minorEastAsia" w:hAnsiTheme="minorEastAsia" w:eastAsiaTheme="minorEastAsia"/>
                <w:color w:val="000000"/>
                <w:sz w:val="20"/>
                <w:szCs w:val="20"/>
              </w:rPr>
              <w:t xml:space="preserve"> </w:t>
            </w:r>
          </w:p>
        </w:tc>
      </w:tr>
      <w:tr>
        <w:trPr>
          <w:trHeight w:val="2254" w:hRule="atLeast"/>
          <w:jc w:val="center"/>
        </w:trPr>
        <w:tc>
          <w:tcPr>
            <w:tcW w:w="1020" w:type="dxa"/>
            <w:vAlign w:val="center"/>
          </w:tcPr>
          <w:p>
            <w:pPr>
              <w:jc w:val="left"/>
              <w:rPr>
                <w:color w:val="000000"/>
              </w:rPr>
            </w:pPr>
            <w:r>
              <w:rPr>
                <w:color w:val="000000"/>
              </w:rPr>
              <w:t>2.</w:t>
            </w:r>
            <w:r>
              <w:rPr>
                <w:rFonts w:hint="eastAsia"/>
                <w:color w:val="000000"/>
              </w:rPr>
              <w:t>钢琴及弹唱基础知识的运用（</w:t>
            </w:r>
            <w:r>
              <w:rPr>
                <w:color w:val="000000"/>
              </w:rPr>
              <w:t>6课时</w:t>
            </w:r>
            <w:r>
              <w:rPr>
                <w:rFonts w:hint="eastAsia"/>
                <w:color w:val="000000"/>
              </w:rPr>
              <w:t>理论加实践，分为</w:t>
            </w:r>
            <w:r>
              <w:rPr>
                <w:color w:val="000000"/>
              </w:rPr>
              <w:t>1.5</w:t>
            </w:r>
            <w:r>
              <w:rPr>
                <w:rFonts w:hint="eastAsia"/>
                <w:color w:val="000000"/>
              </w:rPr>
              <w:t>课时理论</w:t>
            </w:r>
            <w:r>
              <w:rPr>
                <w:color w:val="000000"/>
              </w:rPr>
              <w:t>4.5</w:t>
            </w:r>
            <w:r>
              <w:rPr>
                <w:rFonts w:hint="eastAsia"/>
                <w:color w:val="000000"/>
              </w:rPr>
              <w:t>课时实践</w:t>
            </w:r>
            <w:r>
              <w:rPr>
                <w:color w:val="000000"/>
              </w:rPr>
              <w:t>）</w:t>
            </w:r>
          </w:p>
        </w:tc>
        <w:tc>
          <w:tcPr>
            <w:tcW w:w="1696" w:type="dxa"/>
            <w:vAlign w:val="center"/>
          </w:tcPr>
          <w:p>
            <w:pPr>
              <w:widowControl/>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w:t>
            </w:r>
            <w:r>
              <w:rPr>
                <w:rFonts w:hint="eastAsia" w:cs="Arial" w:asciiTheme="minorEastAsia" w:hAnsiTheme="minorEastAsia" w:eastAsiaTheme="minorEastAsia"/>
                <w:kern w:val="0"/>
                <w:sz w:val="20"/>
                <w:szCs w:val="20"/>
                <w:lang w:val="en-US" w:eastAsia="zh-CN"/>
              </w:rPr>
              <w:t>计划并组织学生进行</w:t>
            </w:r>
            <w:r>
              <w:rPr>
                <w:rFonts w:hint="eastAsia" w:cs="Arial" w:asciiTheme="minorEastAsia" w:hAnsiTheme="minorEastAsia" w:eastAsiaTheme="minorEastAsia"/>
                <w:kern w:val="0"/>
                <w:sz w:val="20"/>
                <w:szCs w:val="20"/>
              </w:rPr>
              <w:t>4、5指的非连奏分左右手练习</w:t>
            </w:r>
          </w:p>
          <w:p>
            <w:pPr>
              <w:widowControl/>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2.</w:t>
            </w:r>
            <w:r>
              <w:rPr>
                <w:rFonts w:hint="eastAsia" w:cs="Arial" w:asciiTheme="minorEastAsia" w:hAnsiTheme="minorEastAsia" w:eastAsiaTheme="minorEastAsia"/>
                <w:kern w:val="0"/>
                <w:sz w:val="20"/>
                <w:szCs w:val="20"/>
                <w:lang w:val="en-US" w:eastAsia="zh-CN"/>
              </w:rPr>
              <w:t>分析</w:t>
            </w:r>
            <w:r>
              <w:rPr>
                <w:rFonts w:hint="eastAsia" w:cs="Arial" w:asciiTheme="minorEastAsia" w:hAnsiTheme="minorEastAsia" w:eastAsiaTheme="minorEastAsia"/>
                <w:kern w:val="0"/>
                <w:sz w:val="20"/>
                <w:szCs w:val="20"/>
              </w:rPr>
              <w:t>连音线</w:t>
            </w:r>
            <w:r>
              <w:rPr>
                <w:rFonts w:hint="eastAsia" w:cs="Arial" w:asciiTheme="minorEastAsia" w:hAnsiTheme="minorEastAsia" w:eastAsiaTheme="minorEastAsia"/>
                <w:kern w:val="0"/>
                <w:sz w:val="20"/>
                <w:szCs w:val="20"/>
                <w:lang w:val="en-US" w:eastAsia="zh-CN"/>
              </w:rPr>
              <w:t>的结构</w:t>
            </w:r>
            <w:r>
              <w:rPr>
                <w:rFonts w:hint="eastAsia" w:cs="Arial" w:asciiTheme="minorEastAsia" w:hAnsiTheme="minorEastAsia" w:eastAsiaTheme="minorEastAsia"/>
                <w:kern w:val="0"/>
                <w:sz w:val="20"/>
                <w:szCs w:val="20"/>
                <w:lang w:eastAsia="zh-CN"/>
              </w:rPr>
              <w:t>，</w:t>
            </w:r>
            <w:r>
              <w:rPr>
                <w:rFonts w:hint="eastAsia" w:cs="Arial" w:asciiTheme="minorEastAsia" w:hAnsiTheme="minorEastAsia" w:eastAsiaTheme="minorEastAsia"/>
                <w:kern w:val="0"/>
                <w:sz w:val="20"/>
                <w:szCs w:val="20"/>
                <w:lang w:val="en-US" w:eastAsia="zh-CN"/>
              </w:rPr>
              <w:t>并支持学生区别连音线的</w:t>
            </w:r>
            <w:r>
              <w:rPr>
                <w:rFonts w:hint="eastAsia" w:cs="Arial" w:asciiTheme="minorEastAsia" w:hAnsiTheme="minorEastAsia" w:eastAsiaTheme="minorEastAsia"/>
                <w:kern w:val="0"/>
                <w:sz w:val="20"/>
                <w:szCs w:val="20"/>
              </w:rPr>
              <w:t>运用</w:t>
            </w:r>
          </w:p>
          <w:p>
            <w:pPr>
              <w:widowControl/>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3.</w:t>
            </w:r>
            <w:r>
              <w:rPr>
                <w:rFonts w:hint="eastAsia" w:cs="Arial" w:asciiTheme="minorEastAsia" w:hAnsiTheme="minorEastAsia" w:eastAsiaTheme="minorEastAsia"/>
                <w:kern w:val="0"/>
                <w:sz w:val="20"/>
                <w:szCs w:val="20"/>
                <w:lang w:val="en-US" w:eastAsia="zh-CN"/>
              </w:rPr>
              <w:t>计划并组织学生进行</w:t>
            </w:r>
            <w:r>
              <w:rPr>
                <w:rFonts w:hint="eastAsia" w:cs="Arial" w:asciiTheme="minorEastAsia" w:hAnsiTheme="minorEastAsia" w:eastAsiaTheme="minorEastAsia"/>
                <w:kern w:val="0"/>
                <w:sz w:val="20"/>
                <w:szCs w:val="20"/>
              </w:rPr>
              <w:t>5指的连奏</w:t>
            </w:r>
          </w:p>
          <w:p>
            <w:pPr>
              <w:widowControl/>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4.</w:t>
            </w:r>
            <w:r>
              <w:rPr>
                <w:rFonts w:hint="eastAsia" w:cs="Arial" w:asciiTheme="minorEastAsia" w:hAnsiTheme="minorEastAsia" w:eastAsiaTheme="minorEastAsia"/>
                <w:kern w:val="0"/>
                <w:sz w:val="20"/>
                <w:szCs w:val="20"/>
                <w:lang w:val="en-US" w:eastAsia="zh-CN"/>
              </w:rPr>
              <w:t>支持学生熟练的</w:t>
            </w:r>
            <w:r>
              <w:rPr>
                <w:rFonts w:hint="eastAsia" w:cs="Arial" w:asciiTheme="minorEastAsia" w:hAnsiTheme="minorEastAsia" w:eastAsiaTheme="minorEastAsia"/>
                <w:kern w:val="0"/>
                <w:sz w:val="20"/>
                <w:szCs w:val="20"/>
              </w:rPr>
              <w:t>弹奏《新疆舞曲》、《丢手绢》等</w:t>
            </w:r>
          </w:p>
          <w:p>
            <w:pPr>
              <w:widowControl/>
              <w:rPr>
                <w:lang w:val="en-US" w:eastAsia="zh-CN"/>
              </w:rPr>
            </w:pPr>
            <w:r>
              <w:rPr>
                <w:rFonts w:hint="eastAsia" w:cs="Arial" w:asciiTheme="minorEastAsia" w:hAnsiTheme="minorEastAsia" w:eastAsiaTheme="minorEastAsia"/>
                <w:kern w:val="0"/>
                <w:sz w:val="20"/>
                <w:szCs w:val="20"/>
              </w:rPr>
              <w:t>5.</w:t>
            </w:r>
            <w:r>
              <w:rPr>
                <w:rFonts w:hint="eastAsia" w:cs="Arial" w:asciiTheme="minorEastAsia" w:hAnsiTheme="minorEastAsia" w:eastAsiaTheme="minorEastAsia"/>
                <w:kern w:val="0"/>
                <w:sz w:val="20"/>
                <w:szCs w:val="20"/>
                <w:lang w:val="en-US" w:eastAsia="zh-CN"/>
              </w:rPr>
              <w:t>组成小组进行</w:t>
            </w:r>
            <w:r>
              <w:rPr>
                <w:rFonts w:hint="eastAsia" w:cs="Arial" w:asciiTheme="minorEastAsia" w:hAnsiTheme="minorEastAsia" w:eastAsiaTheme="minorEastAsia"/>
                <w:kern w:val="0"/>
                <w:sz w:val="20"/>
                <w:szCs w:val="20"/>
              </w:rPr>
              <w:t>视唱练耳：《扬基歌》、《手指歌》等</w:t>
            </w:r>
          </w:p>
        </w:tc>
        <w:tc>
          <w:tcPr>
            <w:tcW w:w="1713" w:type="dxa"/>
            <w:vAlign w:val="center"/>
          </w:tcPr>
          <w:p>
            <w:pPr>
              <w:widowControl/>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1.能够弹奏《新疆舞曲》</w:t>
            </w:r>
          </w:p>
          <w:p>
            <w:pPr>
              <w:widowControl/>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2.师生配合共同完成乐曲《噢，苏珊娜》</w:t>
            </w:r>
          </w:p>
          <w:p>
            <w:pPr>
              <w:widowControl/>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3.能够视唱《扬基歌》、《手指歌》等</w:t>
            </w:r>
          </w:p>
          <w:p>
            <w:pPr>
              <w:widowControl/>
              <w:rPr>
                <w:rFonts w:asciiTheme="minorEastAsia" w:hAnsiTheme="minorEastAsia" w:eastAsiaTheme="minorEastAsia"/>
                <w:color w:val="000000"/>
                <w:sz w:val="20"/>
                <w:szCs w:val="20"/>
              </w:rPr>
            </w:pPr>
          </w:p>
        </w:tc>
        <w:tc>
          <w:tcPr>
            <w:tcW w:w="1980" w:type="dxa"/>
            <w:vAlign w:val="center"/>
          </w:tcPr>
          <w:p>
            <w:pPr>
              <w:jc w:val="left"/>
              <w:rPr>
                <w:rFonts w:hint="default" w:asciiTheme="minorEastAsia" w:hAnsiTheme="minorEastAsia" w:eastAsiaTheme="minorEastAsia"/>
                <w:color w:val="000000"/>
                <w:sz w:val="20"/>
                <w:szCs w:val="20"/>
                <w:lang w:val="en-US" w:eastAsia="zh-CN"/>
              </w:rPr>
            </w:pPr>
            <w:r>
              <w:rPr>
                <w:rFonts w:hint="eastAsia" w:asciiTheme="minorEastAsia" w:hAnsiTheme="minorEastAsia" w:eastAsiaTheme="minorEastAsia"/>
                <w:color w:val="000000"/>
                <w:sz w:val="20"/>
                <w:szCs w:val="20"/>
                <w:lang w:val="en-US" w:eastAsia="zh-CN"/>
              </w:rPr>
              <w:t>1.能够理解</w:t>
            </w:r>
            <w:r>
              <w:rPr>
                <w:rFonts w:hint="eastAsia" w:cs="Arial" w:asciiTheme="minorEastAsia" w:hAnsiTheme="minorEastAsia" w:eastAsiaTheme="minorEastAsia"/>
                <w:kern w:val="0"/>
                <w:sz w:val="20"/>
                <w:szCs w:val="20"/>
              </w:rPr>
              <w:t>《扬基歌》、《手指歌》</w:t>
            </w:r>
            <w:r>
              <w:rPr>
                <w:rFonts w:hint="eastAsia" w:cs="Arial" w:asciiTheme="minorEastAsia" w:hAnsiTheme="minorEastAsia" w:eastAsiaTheme="minorEastAsia"/>
                <w:kern w:val="0"/>
                <w:sz w:val="20"/>
                <w:szCs w:val="20"/>
                <w:lang w:val="en-US" w:eastAsia="zh-CN"/>
              </w:rPr>
              <w:t>弹唱歌曲的色彩情感，提升学前教育学生专业素养，热爱钢琴与弹唱</w:t>
            </w:r>
          </w:p>
        </w:tc>
        <w:tc>
          <w:tcPr>
            <w:tcW w:w="1404" w:type="dxa"/>
            <w:vAlign w:val="center"/>
          </w:tcPr>
          <w:p>
            <w:pPr>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1.锻炼手指触键力量</w:t>
            </w:r>
          </w:p>
          <w:p>
            <w:pPr>
              <w:jc w:val="left"/>
              <w:rPr>
                <w:rFonts w:hint="eastAsia"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2.乐曲简谱的视唱，听音模仿并跟唱，辨别音准</w:t>
            </w:r>
          </w:p>
        </w:tc>
      </w:tr>
      <w:tr>
        <w:trPr>
          <w:trHeight w:val="2400" w:hRule="atLeast"/>
          <w:jc w:val="center"/>
        </w:trPr>
        <w:tc>
          <w:tcPr>
            <w:tcW w:w="1020" w:type="dxa"/>
            <w:vAlign w:val="center"/>
          </w:tcPr>
          <w:p>
            <w:pPr>
              <w:jc w:val="left"/>
              <w:rPr>
                <w:color w:val="000000"/>
              </w:rPr>
            </w:pPr>
            <w:r>
              <w:rPr>
                <w:color w:val="000000"/>
              </w:rPr>
              <w:t>3.</w:t>
            </w:r>
            <w:r>
              <w:rPr>
                <w:rFonts w:hint="eastAsia"/>
                <w:color w:val="000000"/>
              </w:rPr>
              <w:t xml:space="preserve"> 弹唱基础技能训练（</w:t>
            </w:r>
            <w:r>
              <w:rPr>
                <w:color w:val="000000"/>
              </w:rPr>
              <w:t>4课时</w:t>
            </w:r>
            <w:r>
              <w:rPr>
                <w:rFonts w:hint="eastAsia"/>
                <w:color w:val="000000"/>
              </w:rPr>
              <w:t>实践结合理论,分为</w:t>
            </w:r>
            <w:r>
              <w:rPr>
                <w:color w:val="000000"/>
              </w:rPr>
              <w:t>1</w:t>
            </w:r>
            <w:r>
              <w:rPr>
                <w:rFonts w:hint="eastAsia"/>
                <w:color w:val="000000"/>
              </w:rPr>
              <w:t>课时理论3课时实践</w:t>
            </w:r>
            <w:r>
              <w:rPr>
                <w:color w:val="000000"/>
              </w:rPr>
              <w:t>）</w:t>
            </w:r>
          </w:p>
        </w:tc>
        <w:tc>
          <w:tcPr>
            <w:tcW w:w="1696" w:type="dxa"/>
            <w:vAlign w:val="center"/>
          </w:tcPr>
          <w:p>
            <w:pPr>
              <w:widowControl/>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w:t>
            </w:r>
            <w:r>
              <w:rPr>
                <w:rFonts w:hint="eastAsia" w:cs="Arial" w:asciiTheme="minorEastAsia" w:hAnsiTheme="minorEastAsia" w:eastAsiaTheme="minorEastAsia"/>
                <w:kern w:val="0"/>
                <w:sz w:val="20"/>
                <w:szCs w:val="20"/>
                <w:lang w:val="en-US" w:eastAsia="zh-CN"/>
              </w:rPr>
              <w:t>分析并对比在其他音的手位练习，组织学生进行</w:t>
            </w:r>
            <w:r>
              <w:rPr>
                <w:rFonts w:hint="eastAsia" w:cs="Arial" w:asciiTheme="minorEastAsia" w:hAnsiTheme="minorEastAsia" w:eastAsiaTheme="minorEastAsia"/>
                <w:kern w:val="0"/>
                <w:sz w:val="20"/>
                <w:szCs w:val="20"/>
              </w:rPr>
              <w:t>双手在C音手位的练习</w:t>
            </w:r>
          </w:p>
          <w:p>
            <w:pPr>
              <w:widowControl/>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2.</w:t>
            </w:r>
            <w:r>
              <w:rPr>
                <w:rFonts w:hint="eastAsia" w:cs="Arial" w:asciiTheme="minorEastAsia" w:hAnsiTheme="minorEastAsia" w:eastAsiaTheme="minorEastAsia"/>
                <w:kern w:val="0"/>
                <w:sz w:val="20"/>
                <w:szCs w:val="20"/>
                <w:lang w:val="en-US" w:eastAsia="zh-CN"/>
              </w:rPr>
              <w:t>分析</w:t>
            </w:r>
            <w:r>
              <w:rPr>
                <w:rFonts w:hint="eastAsia" w:cs="Arial" w:asciiTheme="minorEastAsia" w:hAnsiTheme="minorEastAsia" w:eastAsiaTheme="minorEastAsia"/>
                <w:kern w:val="0"/>
                <w:sz w:val="20"/>
                <w:szCs w:val="20"/>
              </w:rPr>
              <w:t>和声音程的</w:t>
            </w:r>
            <w:r>
              <w:rPr>
                <w:rFonts w:hint="eastAsia" w:cs="Arial" w:asciiTheme="minorEastAsia" w:hAnsiTheme="minorEastAsia" w:eastAsiaTheme="minorEastAsia"/>
                <w:kern w:val="0"/>
                <w:sz w:val="20"/>
                <w:szCs w:val="20"/>
                <w:lang w:val="en-US" w:eastAsia="zh-CN"/>
              </w:rPr>
              <w:t>结构并组织学生进行</w:t>
            </w:r>
            <w:r>
              <w:rPr>
                <w:rFonts w:hint="eastAsia" w:cs="Arial" w:asciiTheme="minorEastAsia" w:hAnsiTheme="minorEastAsia" w:eastAsiaTheme="minorEastAsia"/>
                <w:kern w:val="0"/>
                <w:sz w:val="20"/>
                <w:szCs w:val="20"/>
              </w:rPr>
              <w:t>弹奏</w:t>
            </w:r>
          </w:p>
          <w:p>
            <w:pPr>
              <w:widowControl/>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3.</w:t>
            </w:r>
            <w:r>
              <w:rPr>
                <w:rFonts w:hint="eastAsia" w:cs="Arial" w:asciiTheme="minorEastAsia" w:hAnsiTheme="minorEastAsia" w:eastAsiaTheme="minorEastAsia"/>
                <w:kern w:val="0"/>
                <w:sz w:val="20"/>
                <w:szCs w:val="20"/>
                <w:lang w:val="en-US" w:eastAsia="zh-CN"/>
              </w:rPr>
              <w:t>组织学生进行</w:t>
            </w:r>
            <w:r>
              <w:rPr>
                <w:rFonts w:hint="eastAsia" w:cs="Arial" w:asciiTheme="minorEastAsia" w:hAnsiTheme="minorEastAsia" w:eastAsiaTheme="minorEastAsia"/>
                <w:kern w:val="0"/>
                <w:sz w:val="20"/>
                <w:szCs w:val="20"/>
              </w:rPr>
              <w:t>一只手连奏，另一只手断奏</w:t>
            </w:r>
          </w:p>
          <w:p>
            <w:pPr>
              <w:widowControl/>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4.</w:t>
            </w:r>
            <w:r>
              <w:rPr>
                <w:rFonts w:hint="eastAsia" w:cs="Arial" w:asciiTheme="minorEastAsia" w:hAnsiTheme="minorEastAsia" w:eastAsiaTheme="minorEastAsia"/>
                <w:kern w:val="0"/>
                <w:sz w:val="20"/>
                <w:szCs w:val="20"/>
                <w:lang w:val="en-US" w:eastAsia="zh-CN"/>
              </w:rPr>
              <w:t>支持学生进行</w:t>
            </w:r>
            <w:r>
              <w:rPr>
                <w:rFonts w:hint="eastAsia" w:cs="Arial" w:asciiTheme="minorEastAsia" w:hAnsiTheme="minorEastAsia" w:eastAsiaTheme="minorEastAsia"/>
                <w:kern w:val="0"/>
                <w:sz w:val="20"/>
                <w:szCs w:val="20"/>
              </w:rPr>
              <w:t>双手练习</w:t>
            </w:r>
          </w:p>
          <w:p>
            <w:pPr>
              <w:widowControl/>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5.</w:t>
            </w:r>
            <w:r>
              <w:rPr>
                <w:rFonts w:hint="eastAsia" w:cs="Arial" w:asciiTheme="minorEastAsia" w:hAnsiTheme="minorEastAsia" w:eastAsiaTheme="minorEastAsia"/>
                <w:kern w:val="0"/>
                <w:sz w:val="20"/>
                <w:szCs w:val="20"/>
                <w:lang w:val="en-US" w:eastAsia="zh-CN"/>
              </w:rPr>
              <w:t>计划并组织学生熟练的</w:t>
            </w:r>
            <w:r>
              <w:rPr>
                <w:rFonts w:hint="eastAsia" w:cs="Arial" w:asciiTheme="minorEastAsia" w:hAnsiTheme="minorEastAsia" w:eastAsiaTheme="minorEastAsia"/>
                <w:kern w:val="0"/>
                <w:sz w:val="20"/>
                <w:szCs w:val="20"/>
              </w:rPr>
              <w:t>弹奏《欢乐颂》、《云雀》、《小蝌蚪》等</w:t>
            </w:r>
          </w:p>
          <w:p>
            <w:pPr>
              <w:rPr>
                <w:rFonts w:asciiTheme="minorEastAsia" w:hAnsiTheme="minorEastAsia" w:eastAsiaTheme="minorEastAsia"/>
                <w:color w:val="000000"/>
                <w:sz w:val="20"/>
                <w:szCs w:val="20"/>
              </w:rPr>
            </w:pPr>
            <w:r>
              <w:rPr>
                <w:rFonts w:hint="eastAsia" w:cs="Arial" w:asciiTheme="minorEastAsia" w:hAnsiTheme="minorEastAsia" w:eastAsiaTheme="minorEastAsia"/>
                <w:kern w:val="0"/>
                <w:sz w:val="20"/>
                <w:szCs w:val="20"/>
              </w:rPr>
              <w:t>6.</w:t>
            </w:r>
            <w:r>
              <w:rPr>
                <w:rFonts w:hint="eastAsia" w:cs="Arial" w:asciiTheme="minorEastAsia" w:hAnsiTheme="minorEastAsia" w:eastAsiaTheme="minorEastAsia"/>
                <w:kern w:val="0"/>
                <w:sz w:val="20"/>
                <w:szCs w:val="20"/>
                <w:lang w:val="en-US" w:eastAsia="zh-CN"/>
              </w:rPr>
              <w:t>组成小组进行</w:t>
            </w:r>
            <w:r>
              <w:rPr>
                <w:rFonts w:hint="eastAsia" w:cs="Arial" w:asciiTheme="minorEastAsia" w:hAnsiTheme="minorEastAsia" w:eastAsiaTheme="minorEastAsia"/>
                <w:kern w:val="0"/>
                <w:sz w:val="20"/>
                <w:szCs w:val="20"/>
              </w:rPr>
              <w:t>视唱练耳：《拍手唱歌》、《我的小宝宝》等</w:t>
            </w:r>
          </w:p>
        </w:tc>
        <w:tc>
          <w:tcPr>
            <w:tcW w:w="1713" w:type="dxa"/>
            <w:vAlign w:val="center"/>
          </w:tcPr>
          <w:p>
            <w:pPr>
              <w:jc w:val="left"/>
              <w:rPr>
                <w:rFonts w:cs="Arial" w:asciiTheme="minorEastAsia" w:hAnsiTheme="minorEastAsia" w:eastAsiaTheme="minorEastAsia"/>
                <w:kern w:val="0"/>
                <w:sz w:val="20"/>
                <w:szCs w:val="20"/>
              </w:rPr>
            </w:pPr>
            <w:r>
              <w:rPr>
                <w:rFonts w:hint="eastAsia" w:asciiTheme="minorEastAsia" w:hAnsiTheme="minorEastAsia" w:eastAsiaTheme="minorEastAsia"/>
                <w:color w:val="000000"/>
                <w:sz w:val="20"/>
                <w:szCs w:val="20"/>
              </w:rPr>
              <w:t>1.能够弹奏</w:t>
            </w:r>
            <w:r>
              <w:rPr>
                <w:rFonts w:hint="eastAsia" w:cs="Arial" w:asciiTheme="minorEastAsia" w:hAnsiTheme="minorEastAsia" w:eastAsiaTheme="minorEastAsia"/>
                <w:kern w:val="0"/>
                <w:sz w:val="20"/>
                <w:szCs w:val="20"/>
              </w:rPr>
              <w:t>和声音程</w:t>
            </w:r>
          </w:p>
          <w:p>
            <w:pPr>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2.</w:t>
            </w:r>
            <w:r>
              <w:rPr>
                <w:rFonts w:hint="eastAsia" w:asciiTheme="minorEastAsia" w:hAnsiTheme="minorEastAsia" w:eastAsiaTheme="minorEastAsia"/>
                <w:color w:val="000000"/>
                <w:sz w:val="20"/>
                <w:szCs w:val="20"/>
              </w:rPr>
              <w:t>能够弹奏</w:t>
            </w:r>
            <w:r>
              <w:rPr>
                <w:rFonts w:hint="eastAsia" w:cs="Arial" w:asciiTheme="minorEastAsia" w:hAnsiTheme="minorEastAsia" w:eastAsiaTheme="minorEastAsia"/>
                <w:kern w:val="0"/>
                <w:sz w:val="20"/>
                <w:szCs w:val="20"/>
              </w:rPr>
              <w:t>《欢乐颂》</w:t>
            </w:r>
          </w:p>
          <w:p>
            <w:pPr>
              <w:jc w:val="left"/>
              <w:rPr>
                <w:rFonts w:asciiTheme="minorEastAsia" w:hAnsiTheme="minorEastAsia" w:eastAsiaTheme="minorEastAsia"/>
                <w:color w:val="000000"/>
                <w:sz w:val="20"/>
                <w:szCs w:val="20"/>
              </w:rPr>
            </w:pPr>
            <w:r>
              <w:rPr>
                <w:rFonts w:hint="eastAsia" w:cs="Arial" w:asciiTheme="minorEastAsia" w:hAnsiTheme="minorEastAsia" w:eastAsiaTheme="minorEastAsia"/>
                <w:kern w:val="0"/>
                <w:sz w:val="20"/>
                <w:szCs w:val="20"/>
              </w:rPr>
              <w:t>3.能够视唱《拍手唱歌》、《我的小宝宝》等</w:t>
            </w:r>
          </w:p>
        </w:tc>
        <w:tc>
          <w:tcPr>
            <w:tcW w:w="1980" w:type="dxa"/>
            <w:vAlign w:val="center"/>
          </w:tcPr>
          <w:p>
            <w:pPr>
              <w:jc w:val="left"/>
              <w:rPr>
                <w:rFonts w:hint="default" w:asciiTheme="minorEastAsia" w:hAnsiTheme="minorEastAsia" w:eastAsiaTheme="minorEastAsia"/>
                <w:color w:val="000000"/>
                <w:sz w:val="20"/>
                <w:szCs w:val="20"/>
                <w:lang w:val="en-US" w:eastAsia="zh-CN"/>
              </w:rPr>
            </w:pPr>
            <w:r>
              <w:rPr>
                <w:rFonts w:hint="eastAsia" w:asciiTheme="minorEastAsia" w:hAnsiTheme="minorEastAsia" w:eastAsiaTheme="minorEastAsia"/>
                <w:color w:val="000000"/>
                <w:sz w:val="20"/>
                <w:szCs w:val="20"/>
                <w:lang w:val="en-US" w:eastAsia="zh-CN"/>
              </w:rPr>
              <w:t>1.能够理解</w:t>
            </w:r>
            <w:r>
              <w:rPr>
                <w:rFonts w:hint="eastAsia" w:cs="Arial" w:asciiTheme="minorEastAsia" w:hAnsiTheme="minorEastAsia" w:eastAsiaTheme="minorEastAsia"/>
                <w:kern w:val="0"/>
                <w:sz w:val="20"/>
                <w:szCs w:val="20"/>
              </w:rPr>
              <w:t>《拍手唱歌》、《我的小宝宝》</w:t>
            </w:r>
            <w:r>
              <w:rPr>
                <w:rFonts w:hint="eastAsia" w:cs="Arial" w:asciiTheme="minorEastAsia" w:hAnsiTheme="minorEastAsia" w:eastAsiaTheme="minorEastAsia"/>
                <w:kern w:val="0"/>
                <w:sz w:val="20"/>
                <w:szCs w:val="20"/>
                <w:lang w:val="en-US" w:eastAsia="zh-CN"/>
              </w:rPr>
              <w:t>弹唱歌曲的色彩情感，升华歌曲所带来的情感，能够带有情感的进行弹唱</w:t>
            </w:r>
          </w:p>
        </w:tc>
        <w:tc>
          <w:tcPr>
            <w:tcW w:w="1404" w:type="dxa"/>
            <w:vAlign w:val="center"/>
          </w:tcPr>
          <w:p>
            <w:pPr>
              <w:jc w:val="left"/>
              <w:rPr>
                <w:rFonts w:hint="eastAsia"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1.双手合练，匀速弹奏，视奏能力的培养</w:t>
            </w:r>
          </w:p>
        </w:tc>
      </w:tr>
      <w:tr>
        <w:trPr>
          <w:trHeight w:val="2688" w:hRule="atLeast"/>
          <w:jc w:val="center"/>
        </w:trPr>
        <w:tc>
          <w:tcPr>
            <w:tcW w:w="1020" w:type="dxa"/>
            <w:vAlign w:val="center"/>
          </w:tcPr>
          <w:p>
            <w:pPr>
              <w:jc w:val="left"/>
              <w:rPr>
                <w:color w:val="000000"/>
              </w:rPr>
            </w:pPr>
            <w:r>
              <w:rPr>
                <w:color w:val="000000"/>
              </w:rPr>
              <w:t>4.</w:t>
            </w:r>
            <w:r>
              <w:rPr>
                <w:rFonts w:hint="eastAsia"/>
                <w:color w:val="000000"/>
              </w:rPr>
              <w:t>弹唱基础技能训练（</w:t>
            </w:r>
            <w:r>
              <w:rPr>
                <w:color w:val="000000"/>
              </w:rPr>
              <w:t>4课时</w:t>
            </w:r>
            <w:r>
              <w:rPr>
                <w:rFonts w:hint="eastAsia"/>
                <w:color w:val="000000"/>
              </w:rPr>
              <w:t>实践结合理论，分为0</w:t>
            </w:r>
            <w:r>
              <w:rPr>
                <w:color w:val="000000"/>
              </w:rPr>
              <w:t>.5</w:t>
            </w:r>
            <w:r>
              <w:rPr>
                <w:rFonts w:hint="eastAsia"/>
                <w:color w:val="000000"/>
              </w:rPr>
              <w:t>课时理论3</w:t>
            </w:r>
            <w:r>
              <w:rPr>
                <w:color w:val="000000"/>
              </w:rPr>
              <w:t>.5</w:t>
            </w:r>
            <w:r>
              <w:rPr>
                <w:rFonts w:hint="eastAsia"/>
                <w:color w:val="000000"/>
              </w:rPr>
              <w:t>课时实践</w:t>
            </w:r>
            <w:r>
              <w:rPr>
                <w:color w:val="000000"/>
              </w:rPr>
              <w:t>）</w:t>
            </w:r>
          </w:p>
        </w:tc>
        <w:tc>
          <w:tcPr>
            <w:tcW w:w="1696" w:type="dxa"/>
            <w:vAlign w:val="center"/>
          </w:tcPr>
          <w:p>
            <w:pPr>
              <w:rPr>
                <w:rFonts w:asciiTheme="minorEastAsia" w:hAnsiTheme="minorEastAsia" w:eastAsiaTheme="minorEastAsia"/>
                <w:color w:val="000000"/>
                <w:sz w:val="20"/>
                <w:szCs w:val="20"/>
              </w:rPr>
            </w:pPr>
          </w:p>
          <w:p>
            <w:pPr>
              <w:widowControl/>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1.</w:t>
            </w:r>
            <w:r>
              <w:rPr>
                <w:rFonts w:hint="eastAsia" w:cs="Arial" w:asciiTheme="minorEastAsia" w:hAnsiTheme="minorEastAsia" w:eastAsiaTheme="minorEastAsia"/>
                <w:kern w:val="0"/>
                <w:sz w:val="20"/>
                <w:szCs w:val="20"/>
                <w:lang w:val="en-US" w:eastAsia="zh-CN"/>
              </w:rPr>
              <w:t>分析并对比在其他音的手位练习，组织学生进行</w:t>
            </w:r>
            <w:r>
              <w:rPr>
                <w:rFonts w:hint="eastAsia" w:asciiTheme="minorEastAsia" w:hAnsiTheme="minorEastAsia" w:eastAsiaTheme="minorEastAsia"/>
                <w:kern w:val="0"/>
                <w:sz w:val="20"/>
                <w:szCs w:val="20"/>
              </w:rPr>
              <w:t>其他音位上的手指原位练习</w:t>
            </w:r>
          </w:p>
          <w:p>
            <w:pPr>
              <w:widowControl/>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2.</w:t>
            </w:r>
            <w:r>
              <w:rPr>
                <w:rFonts w:hint="eastAsia" w:asciiTheme="minorEastAsia" w:hAnsiTheme="minorEastAsia" w:eastAsiaTheme="minorEastAsia"/>
                <w:kern w:val="0"/>
                <w:sz w:val="20"/>
                <w:szCs w:val="20"/>
                <w:lang w:val="en-US" w:eastAsia="zh-CN"/>
              </w:rPr>
              <w:t>组织学生进行</w:t>
            </w:r>
            <w:r>
              <w:rPr>
                <w:rFonts w:hint="eastAsia" w:asciiTheme="minorEastAsia" w:hAnsiTheme="minorEastAsia" w:eastAsiaTheme="minorEastAsia"/>
                <w:kern w:val="0"/>
                <w:sz w:val="20"/>
                <w:szCs w:val="20"/>
              </w:rPr>
              <w:t>和弦的弹奏</w:t>
            </w:r>
          </w:p>
          <w:p>
            <w:pPr>
              <w:widowControl/>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3.</w:t>
            </w:r>
            <w:r>
              <w:rPr>
                <w:rFonts w:hint="eastAsia" w:asciiTheme="minorEastAsia" w:hAnsiTheme="minorEastAsia" w:eastAsiaTheme="minorEastAsia"/>
                <w:kern w:val="0"/>
                <w:sz w:val="20"/>
                <w:szCs w:val="20"/>
                <w:lang w:val="en-US" w:eastAsia="zh-CN"/>
              </w:rPr>
              <w:t>分析</w:t>
            </w:r>
            <w:r>
              <w:rPr>
                <w:rFonts w:hint="eastAsia" w:asciiTheme="minorEastAsia" w:hAnsiTheme="minorEastAsia" w:eastAsiaTheme="minorEastAsia"/>
                <w:kern w:val="0"/>
                <w:sz w:val="20"/>
                <w:szCs w:val="20"/>
              </w:rPr>
              <w:t>音位的更换与基本指法</w:t>
            </w:r>
          </w:p>
          <w:p>
            <w:pP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4.</w:t>
            </w:r>
            <w:r>
              <w:rPr>
                <w:rFonts w:hint="eastAsia" w:cs="Arial" w:asciiTheme="minorEastAsia" w:hAnsiTheme="minorEastAsia" w:eastAsiaTheme="minorEastAsia"/>
                <w:kern w:val="0"/>
                <w:sz w:val="20"/>
                <w:szCs w:val="20"/>
                <w:lang w:val="en-US" w:eastAsia="zh-CN"/>
              </w:rPr>
              <w:t>计划并组织学生熟练的</w:t>
            </w:r>
            <w:r>
              <w:rPr>
                <w:rFonts w:hint="eastAsia" w:asciiTheme="minorEastAsia" w:hAnsiTheme="minorEastAsia" w:eastAsiaTheme="minorEastAsia"/>
                <w:kern w:val="0"/>
                <w:sz w:val="20"/>
                <w:szCs w:val="20"/>
              </w:rPr>
              <w:t>弹奏《五月》、《蓝色布鲁斯》等</w:t>
            </w:r>
          </w:p>
          <w:p>
            <w:pPr>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5.</w:t>
            </w:r>
            <w:r>
              <w:rPr>
                <w:rFonts w:hint="eastAsia" w:cs="Arial" w:asciiTheme="minorEastAsia" w:hAnsiTheme="minorEastAsia" w:eastAsiaTheme="minorEastAsia"/>
                <w:kern w:val="0"/>
                <w:sz w:val="20"/>
                <w:szCs w:val="20"/>
                <w:lang w:val="en-US" w:eastAsia="zh-CN"/>
              </w:rPr>
              <w:t>组成小组进行</w:t>
            </w:r>
            <w:r>
              <w:rPr>
                <w:rFonts w:hint="eastAsia" w:cs="Arial" w:asciiTheme="minorEastAsia" w:hAnsiTheme="minorEastAsia" w:eastAsiaTheme="minorEastAsia"/>
                <w:kern w:val="0"/>
                <w:sz w:val="20"/>
                <w:szCs w:val="20"/>
              </w:rPr>
              <w:t>视唱练耳：《小钟嘀哒》、</w:t>
            </w:r>
            <w:r>
              <w:rPr>
                <w:rFonts w:hint="eastAsia" w:asciiTheme="minorEastAsia" w:hAnsiTheme="minorEastAsia" w:eastAsiaTheme="minorEastAsia"/>
                <w:kern w:val="0"/>
                <w:sz w:val="20"/>
                <w:szCs w:val="20"/>
              </w:rPr>
              <w:t>《小星星》等</w:t>
            </w:r>
          </w:p>
        </w:tc>
        <w:tc>
          <w:tcPr>
            <w:tcW w:w="1713" w:type="dxa"/>
            <w:vAlign w:val="center"/>
          </w:tcPr>
          <w:p>
            <w:pP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1.能够根据乐谱提示的指法进行准确地弹奏</w:t>
            </w:r>
          </w:p>
          <w:p>
            <w:pP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2.记忆并运用音位的更换与基本指法</w:t>
            </w:r>
          </w:p>
          <w:p>
            <w:pP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3.</w:t>
            </w:r>
            <w:r>
              <w:rPr>
                <w:rFonts w:hint="eastAsia" w:asciiTheme="minorEastAsia" w:hAnsiTheme="minorEastAsia" w:eastAsiaTheme="minorEastAsia"/>
                <w:color w:val="000000"/>
                <w:sz w:val="20"/>
                <w:szCs w:val="20"/>
              </w:rPr>
              <w:t>能够弹奏《</w:t>
            </w:r>
            <w:r>
              <w:rPr>
                <w:rFonts w:hint="eastAsia" w:asciiTheme="minorEastAsia" w:hAnsiTheme="minorEastAsia" w:eastAsiaTheme="minorEastAsia"/>
                <w:kern w:val="0"/>
                <w:sz w:val="20"/>
                <w:szCs w:val="20"/>
              </w:rPr>
              <w:t>五月》、《蓝色布鲁斯》</w:t>
            </w:r>
          </w:p>
          <w:p>
            <w:pPr>
              <w:rPr>
                <w:rFonts w:asciiTheme="minorEastAsia" w:hAnsiTheme="minorEastAsia" w:eastAsiaTheme="minorEastAsia"/>
                <w:color w:val="000000"/>
                <w:sz w:val="20"/>
                <w:szCs w:val="20"/>
              </w:rPr>
            </w:pPr>
            <w:r>
              <w:rPr>
                <w:rFonts w:hint="eastAsia" w:asciiTheme="minorEastAsia" w:hAnsiTheme="minorEastAsia" w:eastAsiaTheme="minorEastAsia"/>
                <w:kern w:val="0"/>
                <w:sz w:val="20"/>
                <w:szCs w:val="20"/>
              </w:rPr>
              <w:t>4.</w:t>
            </w:r>
            <w:r>
              <w:rPr>
                <w:rFonts w:hint="eastAsia" w:cs="Arial" w:asciiTheme="minorEastAsia" w:hAnsiTheme="minorEastAsia" w:eastAsiaTheme="minorEastAsia"/>
                <w:kern w:val="0"/>
                <w:sz w:val="20"/>
                <w:szCs w:val="20"/>
              </w:rPr>
              <w:t>能够视唱《小钟嘀哒》、</w:t>
            </w:r>
            <w:r>
              <w:rPr>
                <w:rFonts w:hint="eastAsia" w:asciiTheme="minorEastAsia" w:hAnsiTheme="minorEastAsia" w:eastAsiaTheme="minorEastAsia"/>
                <w:kern w:val="0"/>
                <w:sz w:val="20"/>
                <w:szCs w:val="20"/>
              </w:rPr>
              <w:t>《小星星》等</w:t>
            </w:r>
          </w:p>
        </w:tc>
        <w:tc>
          <w:tcPr>
            <w:tcW w:w="1980" w:type="dxa"/>
            <w:vAlign w:val="center"/>
          </w:tcPr>
          <w:p>
            <w:pPr>
              <w:ind w:left="110"/>
              <w:jc w:val="left"/>
              <w:rPr>
                <w:rFonts w:hint="default" w:eastAsia="宋体" w:asciiTheme="minorEastAsia" w:hAnsiTheme="minorEastAsia"/>
                <w:color w:val="000000"/>
                <w:sz w:val="20"/>
                <w:szCs w:val="20"/>
                <w:lang w:val="en-US" w:eastAsia="zh-CN"/>
              </w:rPr>
            </w:pPr>
            <w:r>
              <w:rPr>
                <w:rFonts w:hint="eastAsia" w:asciiTheme="minorEastAsia" w:hAnsiTheme="minorEastAsia" w:eastAsiaTheme="minorEastAsia"/>
                <w:color w:val="000000"/>
                <w:sz w:val="20"/>
                <w:szCs w:val="20"/>
                <w:lang w:val="en-US" w:eastAsia="zh-CN"/>
              </w:rPr>
              <w:t>1.能够理解</w:t>
            </w:r>
            <w:r>
              <w:rPr>
                <w:rFonts w:hint="eastAsia" w:cs="Arial" w:asciiTheme="minorEastAsia" w:hAnsiTheme="minorEastAsia" w:eastAsiaTheme="minorEastAsia"/>
                <w:kern w:val="0"/>
                <w:sz w:val="20"/>
                <w:szCs w:val="20"/>
              </w:rPr>
              <w:t>《小钟嘀哒》、</w:t>
            </w:r>
            <w:r>
              <w:rPr>
                <w:rFonts w:hint="eastAsia" w:asciiTheme="minorEastAsia" w:hAnsiTheme="minorEastAsia" w:eastAsiaTheme="minorEastAsia"/>
                <w:kern w:val="0"/>
                <w:sz w:val="20"/>
                <w:szCs w:val="20"/>
              </w:rPr>
              <w:t>《小星星》</w:t>
            </w:r>
            <w:r>
              <w:rPr>
                <w:rFonts w:hint="eastAsia" w:cs="Arial" w:asciiTheme="minorEastAsia" w:hAnsiTheme="minorEastAsia" w:eastAsiaTheme="minorEastAsia"/>
                <w:kern w:val="0"/>
                <w:sz w:val="20"/>
                <w:szCs w:val="20"/>
                <w:lang w:val="en-US" w:eastAsia="zh-CN"/>
              </w:rPr>
              <w:t>弹唱歌曲的色彩情感，增强学生对</w:t>
            </w:r>
            <w:r>
              <w:rPr>
                <w:rFonts w:hint="eastAsia"/>
                <w:bCs/>
                <w:color w:val="000000"/>
                <w:sz w:val="20"/>
                <w:szCs w:val="20"/>
              </w:rPr>
              <w:t>表达音乐的能力</w:t>
            </w:r>
            <w:r>
              <w:rPr>
                <w:rFonts w:hint="eastAsia"/>
                <w:bCs/>
                <w:color w:val="000000"/>
                <w:sz w:val="20"/>
                <w:szCs w:val="20"/>
                <w:lang w:val="en-US" w:eastAsia="zh-CN"/>
              </w:rPr>
              <w:t>和热爱钢琴弹唱</w:t>
            </w:r>
          </w:p>
        </w:tc>
        <w:tc>
          <w:tcPr>
            <w:tcW w:w="1404" w:type="dxa"/>
            <w:vAlign w:val="center"/>
          </w:tcPr>
          <w:p>
            <w:pPr>
              <w:jc w:val="left"/>
              <w:rPr>
                <w:rFonts w:asciiTheme="minorEastAsia" w:hAnsiTheme="minorEastAsia" w:eastAsiaTheme="minorEastAsia"/>
                <w:color w:val="000000"/>
                <w:sz w:val="20"/>
                <w:szCs w:val="20"/>
              </w:rPr>
            </w:pPr>
            <w:r>
              <w:rPr>
                <w:rFonts w:hint="eastAsia" w:asciiTheme="minorEastAsia" w:hAnsiTheme="minorEastAsia" w:eastAsiaTheme="minorEastAsia"/>
                <w:kern w:val="0"/>
                <w:sz w:val="20"/>
                <w:szCs w:val="20"/>
              </w:rPr>
              <w:t>1.保持手型，在G音、F音的手位上自然弹奏</w:t>
            </w:r>
          </w:p>
          <w:p>
            <w:pPr>
              <w:ind w:left="110"/>
              <w:jc w:val="left"/>
              <w:rPr>
                <w:rFonts w:asciiTheme="minorEastAsia" w:hAnsiTheme="minorEastAsia" w:eastAsiaTheme="minorEastAsia"/>
                <w:color w:val="000000"/>
                <w:sz w:val="20"/>
                <w:szCs w:val="20"/>
              </w:rPr>
            </w:pPr>
          </w:p>
        </w:tc>
      </w:tr>
    </w:tbl>
    <w:p>
      <w:pPr>
        <w:snapToGrid w:val="0"/>
        <w:spacing w:line="288" w:lineRule="auto"/>
        <w:ind w:right="2520"/>
        <w:rPr>
          <w:rFonts w:ascii="黑体" w:hAnsi="宋体" w:eastAsia="黑体"/>
          <w:sz w:val="24"/>
        </w:rPr>
      </w:pPr>
    </w:p>
    <w:p>
      <w:pPr>
        <w:rPr>
          <w:rFonts w:hint="eastAsia" w:ascii="黑体" w:hAnsi="宋体" w:eastAsia="黑体"/>
          <w:sz w:val="24"/>
        </w:rPr>
      </w:pPr>
      <w:bookmarkStart w:id="3" w:name="_Hlk16624596"/>
      <w:r>
        <w:rPr>
          <w:rFonts w:hint="eastAsia" w:ascii="黑体" w:hAnsi="宋体" w:eastAsia="黑体"/>
          <w:sz w:val="24"/>
        </w:rPr>
        <w:br w:type="page"/>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4"/>
        <w:tblW w:w="85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150"/>
      </w:tblGrid>
      <w:tr>
        <w:trPr>
          <w:trHeight w:val="499"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150"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rPr>
          <w:trHeight w:val="672"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eastAsia="宋体" w:cs="宋体"/>
                <w:sz w:val="20"/>
                <w:szCs w:val="20"/>
              </w:rPr>
            </w:pPr>
            <w:r>
              <w:rPr>
                <w:rFonts w:hint="eastAsia" w:ascii="宋体" w:hAnsi="宋体" w:eastAsia="宋体" w:cs="宋体"/>
                <w:sz w:val="20"/>
                <w:szCs w:val="20"/>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eastAsia="宋体" w:cs="宋体"/>
                <w:sz w:val="20"/>
                <w:szCs w:val="20"/>
              </w:rPr>
            </w:pPr>
            <w:r>
              <w:rPr>
                <w:rFonts w:hint="eastAsia" w:ascii="宋体" w:hAnsi="宋体" w:eastAsia="宋体" w:cs="宋体"/>
                <w:color w:val="000000"/>
                <w:sz w:val="20"/>
                <w:szCs w:val="20"/>
              </w:rPr>
              <w:t>钢琴基础知识</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sz w:val="20"/>
                <w:szCs w:val="20"/>
              </w:rPr>
            </w:pPr>
            <w:r>
              <w:rPr>
                <w:rFonts w:hint="eastAsia" w:ascii="宋体" w:hAnsi="宋体" w:eastAsia="宋体" w:cs="宋体"/>
                <w:kern w:val="0"/>
                <w:sz w:val="20"/>
                <w:szCs w:val="20"/>
              </w:rPr>
              <w:t>视唱及弹奏《玛丽有一头小羔羊》、《打电话》</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eastAsia="宋体" w:cs="宋体"/>
                <w:sz w:val="20"/>
                <w:szCs w:val="20"/>
              </w:rPr>
            </w:pPr>
            <w:r>
              <w:rPr>
                <w:rFonts w:hint="eastAsia" w:ascii="宋体" w:hAnsi="宋体" w:eastAsia="宋体" w:cs="宋体"/>
                <w:sz w:val="20"/>
                <w:szCs w:val="20"/>
              </w:rPr>
              <w:t>1</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eastAsia="宋体" w:cs="宋体"/>
                <w:sz w:val="20"/>
                <w:szCs w:val="20"/>
              </w:rPr>
            </w:pPr>
            <w:r>
              <w:rPr>
                <w:rFonts w:hint="eastAsia" w:ascii="宋体" w:hAnsi="宋体" w:eastAsia="宋体" w:cs="宋体"/>
                <w:sz w:val="20"/>
                <w:szCs w:val="20"/>
              </w:rPr>
              <w:t>演示型</w:t>
            </w:r>
          </w:p>
        </w:tc>
        <w:tc>
          <w:tcPr>
            <w:tcW w:w="115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rPr>
          <w:trHeight w:val="71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eastAsia="宋体" w:cs="宋体"/>
                <w:sz w:val="20"/>
                <w:szCs w:val="20"/>
              </w:rPr>
            </w:pPr>
            <w:r>
              <w:rPr>
                <w:rFonts w:hint="eastAsia" w:ascii="宋体" w:hAnsi="宋体" w:eastAsia="宋体" w:cs="宋体"/>
                <w:sz w:val="20"/>
                <w:szCs w:val="20"/>
              </w:rPr>
              <w:t>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eastAsia="宋体" w:cs="宋体"/>
                <w:sz w:val="20"/>
                <w:szCs w:val="20"/>
              </w:rPr>
            </w:pPr>
            <w:r>
              <w:rPr>
                <w:rFonts w:hint="eastAsia" w:ascii="宋体" w:hAnsi="宋体" w:eastAsia="宋体" w:cs="宋体"/>
                <w:color w:val="000000"/>
                <w:sz w:val="20"/>
                <w:szCs w:val="20"/>
              </w:rPr>
              <w:t>钢琴及弹唱基础知识的运用</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0"/>
                <w:szCs w:val="20"/>
              </w:rPr>
            </w:pPr>
            <w:r>
              <w:rPr>
                <w:rFonts w:hint="eastAsia" w:ascii="宋体" w:hAnsi="宋体" w:eastAsia="宋体" w:cs="宋体"/>
                <w:kern w:val="0"/>
                <w:sz w:val="20"/>
                <w:szCs w:val="20"/>
              </w:rPr>
              <w:t>弹奏《新疆舞曲》、《丢手绢》等</w:t>
            </w:r>
          </w:p>
          <w:p>
            <w:pPr>
              <w:widowControl/>
              <w:rPr>
                <w:rFonts w:hint="eastAsia" w:ascii="宋体" w:hAnsi="宋体" w:eastAsia="宋体" w:cs="宋体"/>
                <w:kern w:val="0"/>
                <w:sz w:val="20"/>
                <w:szCs w:val="20"/>
              </w:rPr>
            </w:pPr>
            <w:r>
              <w:rPr>
                <w:rFonts w:hint="eastAsia" w:ascii="宋体" w:hAnsi="宋体" w:eastAsia="宋体" w:cs="宋体"/>
                <w:kern w:val="0"/>
                <w:sz w:val="20"/>
                <w:szCs w:val="20"/>
              </w:rPr>
              <w:t>视唱练耳：《扬基歌》、《手指歌》等</w:t>
            </w:r>
          </w:p>
          <w:p>
            <w:pPr>
              <w:snapToGrid w:val="0"/>
              <w:spacing w:before="156" w:beforeLines="50" w:after="156" w:afterLines="50" w:line="288" w:lineRule="auto"/>
              <w:jc w:val="center"/>
              <w:rPr>
                <w:rFonts w:hint="eastAsia" w:ascii="宋体" w:hAnsi="宋体" w:eastAsia="宋体" w:cs="宋体"/>
                <w:sz w:val="20"/>
                <w:szCs w:val="20"/>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eastAsia="宋体" w:cs="宋体"/>
                <w:sz w:val="20"/>
                <w:szCs w:val="20"/>
              </w:rPr>
            </w:pPr>
            <w:r>
              <w:rPr>
                <w:rFonts w:hint="eastAsia" w:ascii="宋体" w:hAnsi="宋体" w:eastAsia="宋体" w:cs="宋体"/>
                <w:sz w:val="20"/>
                <w:szCs w:val="20"/>
              </w:rPr>
              <w:t>4.5</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eastAsia="宋体" w:cs="宋体"/>
                <w:sz w:val="20"/>
                <w:szCs w:val="20"/>
              </w:rPr>
            </w:pPr>
            <w:r>
              <w:rPr>
                <w:rFonts w:hint="eastAsia" w:ascii="宋体" w:hAnsi="宋体" w:eastAsia="宋体" w:cs="宋体"/>
                <w:sz w:val="20"/>
                <w:szCs w:val="20"/>
              </w:rPr>
              <w:t>演示型</w:t>
            </w:r>
          </w:p>
        </w:tc>
        <w:tc>
          <w:tcPr>
            <w:tcW w:w="115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rPr>
          <w:trHeight w:val="706"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eastAsia="宋体" w:cs="宋体"/>
                <w:sz w:val="20"/>
                <w:szCs w:val="20"/>
              </w:rPr>
            </w:pPr>
            <w:r>
              <w:rPr>
                <w:rFonts w:hint="eastAsia" w:ascii="宋体" w:hAnsi="宋体" w:eastAsia="宋体" w:cs="宋体"/>
                <w:sz w:val="20"/>
                <w:szCs w:val="20"/>
              </w:rPr>
              <w:t>3</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eastAsia="宋体" w:cs="宋体"/>
                <w:sz w:val="20"/>
                <w:szCs w:val="20"/>
              </w:rPr>
            </w:pPr>
            <w:r>
              <w:rPr>
                <w:rFonts w:hint="eastAsia" w:ascii="宋体" w:hAnsi="宋体" w:eastAsia="宋体" w:cs="宋体"/>
                <w:color w:val="000000"/>
                <w:sz w:val="20"/>
                <w:szCs w:val="20"/>
              </w:rPr>
              <w:t>弹唱基础技能训练</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0"/>
                <w:szCs w:val="20"/>
              </w:rPr>
            </w:pPr>
            <w:r>
              <w:rPr>
                <w:rFonts w:hint="eastAsia" w:ascii="宋体" w:hAnsi="宋体" w:eastAsia="宋体" w:cs="宋体"/>
                <w:kern w:val="0"/>
                <w:sz w:val="20"/>
                <w:szCs w:val="20"/>
              </w:rPr>
              <w:t>弹奏《欢乐颂》、《云雀》、《小蝌蚪》等</w:t>
            </w:r>
          </w:p>
          <w:p>
            <w:pPr>
              <w:snapToGrid w:val="0"/>
              <w:spacing w:before="156" w:beforeLines="50" w:after="156" w:afterLines="50" w:line="288" w:lineRule="auto"/>
              <w:jc w:val="center"/>
              <w:rPr>
                <w:rFonts w:hint="eastAsia" w:ascii="宋体" w:hAnsi="宋体" w:eastAsia="宋体" w:cs="宋体"/>
                <w:sz w:val="20"/>
                <w:szCs w:val="20"/>
              </w:rPr>
            </w:pPr>
            <w:r>
              <w:rPr>
                <w:rFonts w:hint="eastAsia" w:ascii="宋体" w:hAnsi="宋体" w:eastAsia="宋体" w:cs="宋体"/>
                <w:kern w:val="0"/>
                <w:sz w:val="20"/>
                <w:szCs w:val="20"/>
              </w:rPr>
              <w:t>视唱练耳：《拍手唱歌》、《我的小宝宝》等</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eastAsia="宋体" w:cs="宋体"/>
                <w:sz w:val="20"/>
                <w:szCs w:val="20"/>
              </w:rPr>
            </w:pPr>
            <w:r>
              <w:rPr>
                <w:rFonts w:hint="eastAsia" w:ascii="宋体" w:hAnsi="宋体" w:eastAsia="宋体" w:cs="宋体"/>
                <w:sz w:val="20"/>
                <w:szCs w:val="20"/>
              </w:rPr>
              <w:t>3</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eastAsia="宋体" w:cs="宋体"/>
                <w:sz w:val="20"/>
                <w:szCs w:val="20"/>
              </w:rPr>
            </w:pPr>
            <w:r>
              <w:rPr>
                <w:rFonts w:hint="eastAsia" w:ascii="宋体" w:hAnsi="宋体" w:eastAsia="宋体" w:cs="宋体"/>
                <w:sz w:val="20"/>
                <w:szCs w:val="20"/>
              </w:rPr>
              <w:t>演示型</w:t>
            </w:r>
          </w:p>
        </w:tc>
        <w:tc>
          <w:tcPr>
            <w:tcW w:w="115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rPr>
          <w:trHeight w:val="702"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eastAsia="宋体" w:cs="宋体"/>
                <w:sz w:val="20"/>
                <w:szCs w:val="20"/>
              </w:rPr>
            </w:pPr>
            <w:r>
              <w:rPr>
                <w:rFonts w:hint="eastAsia" w:ascii="宋体" w:hAnsi="宋体" w:eastAsia="宋体" w:cs="宋体"/>
                <w:sz w:val="20"/>
                <w:szCs w:val="20"/>
              </w:rPr>
              <w:t>4</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eastAsia="宋体" w:cs="宋体"/>
                <w:sz w:val="20"/>
                <w:szCs w:val="20"/>
              </w:rPr>
            </w:pPr>
            <w:r>
              <w:rPr>
                <w:rFonts w:hint="eastAsia" w:ascii="宋体" w:hAnsi="宋体" w:eastAsia="宋体" w:cs="宋体"/>
                <w:color w:val="000000"/>
                <w:sz w:val="20"/>
                <w:szCs w:val="20"/>
              </w:rPr>
              <w:t>弹唱基础技能训练</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0"/>
                <w:sz w:val="20"/>
                <w:szCs w:val="20"/>
              </w:rPr>
            </w:pPr>
            <w:r>
              <w:rPr>
                <w:rFonts w:hint="eastAsia" w:ascii="宋体" w:hAnsi="宋体" w:eastAsia="宋体" w:cs="宋体"/>
                <w:kern w:val="0"/>
                <w:sz w:val="20"/>
                <w:szCs w:val="20"/>
              </w:rPr>
              <w:t>弹奏《五月》、《蓝色布鲁斯》等</w:t>
            </w:r>
          </w:p>
          <w:p>
            <w:pPr>
              <w:snapToGrid w:val="0"/>
              <w:spacing w:before="156" w:beforeLines="50" w:after="156" w:afterLines="50" w:line="288" w:lineRule="auto"/>
              <w:rPr>
                <w:rFonts w:hint="eastAsia" w:ascii="宋体" w:hAnsi="宋体" w:eastAsia="宋体" w:cs="宋体"/>
                <w:sz w:val="20"/>
                <w:szCs w:val="20"/>
              </w:rPr>
            </w:pPr>
            <w:r>
              <w:rPr>
                <w:rFonts w:hint="eastAsia" w:ascii="宋体" w:hAnsi="宋体" w:eastAsia="宋体" w:cs="宋体"/>
                <w:kern w:val="0"/>
                <w:sz w:val="20"/>
                <w:szCs w:val="20"/>
              </w:rPr>
              <w:t>视唱练耳：《小钟嘀哒》、《小星星》等</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eastAsia="宋体" w:cs="宋体"/>
                <w:sz w:val="20"/>
                <w:szCs w:val="20"/>
              </w:rPr>
            </w:pPr>
            <w:r>
              <w:rPr>
                <w:rFonts w:hint="eastAsia" w:ascii="宋体" w:hAnsi="宋体" w:eastAsia="宋体" w:cs="宋体"/>
                <w:sz w:val="20"/>
                <w:szCs w:val="20"/>
              </w:rPr>
              <w:t>3.5</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eastAsia="宋体" w:cs="宋体"/>
                <w:sz w:val="20"/>
                <w:szCs w:val="20"/>
              </w:rPr>
            </w:pPr>
            <w:r>
              <w:rPr>
                <w:rFonts w:hint="eastAsia" w:ascii="宋体" w:hAnsi="宋体" w:eastAsia="宋体" w:cs="宋体"/>
                <w:sz w:val="20"/>
                <w:szCs w:val="20"/>
              </w:rPr>
              <w:t>演示型</w:t>
            </w:r>
          </w:p>
        </w:tc>
        <w:tc>
          <w:tcPr>
            <w:tcW w:w="115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bookmarkEnd w:id="3"/>
    </w:tbl>
    <w:p>
      <w:pPr>
        <w:snapToGrid w:val="0"/>
        <w:spacing w:line="288" w:lineRule="auto"/>
        <w:ind w:right="2520"/>
        <w:rPr>
          <w:rFonts w:ascii="黑体" w:hAnsi="宋体" w:eastAsia="黑体"/>
          <w:sz w:val="24"/>
        </w:rPr>
      </w:pPr>
    </w:p>
    <w:p>
      <w:pPr>
        <w:snapToGrid w:val="0"/>
        <w:spacing w:line="288" w:lineRule="auto"/>
        <w:ind w:right="2520"/>
        <w:rPr>
          <w:rFonts w:ascii="黑体" w:hAnsi="宋体" w:eastAsia="黑体"/>
          <w:sz w:val="24"/>
        </w:rPr>
      </w:pPr>
    </w:p>
    <w:tbl>
      <w:tblPr>
        <w:tblStyle w:val="4"/>
        <w:tblpPr w:leftFromText="180" w:rightFromText="180" w:vertAnchor="text" w:horzAnchor="page" w:tblpX="1907" w:tblpY="717"/>
        <w:tblOverlap w:val="never"/>
        <w:tblW w:w="8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5103"/>
        <w:gridCol w:w="1615"/>
      </w:tblGrid>
      <w:tr>
        <w:tc>
          <w:tcPr>
            <w:tcW w:w="1755"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615"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c>
          <w:tcPr>
            <w:tcW w:w="1755"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期末展示</w:t>
            </w:r>
          </w:p>
        </w:tc>
        <w:tc>
          <w:tcPr>
            <w:tcW w:w="1615"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7</w:t>
            </w:r>
            <w:r>
              <w:rPr>
                <w:rFonts w:ascii="宋体" w:hAnsi="宋体"/>
                <w:bCs/>
                <w:color w:val="000000"/>
                <w:szCs w:val="20"/>
              </w:rPr>
              <w:t>0</w:t>
            </w:r>
            <w:r>
              <w:rPr>
                <w:rFonts w:hint="eastAsia" w:ascii="宋体" w:hAnsi="宋体"/>
                <w:bCs/>
                <w:color w:val="000000"/>
                <w:szCs w:val="20"/>
              </w:rPr>
              <w:t>%</w:t>
            </w:r>
          </w:p>
        </w:tc>
      </w:tr>
      <w:tr>
        <w:tc>
          <w:tcPr>
            <w:tcW w:w="1755"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课堂展示1</w:t>
            </w:r>
          </w:p>
        </w:tc>
        <w:tc>
          <w:tcPr>
            <w:tcW w:w="1615"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r>
              <w:rPr>
                <w:rFonts w:ascii="宋体" w:hAnsi="宋体"/>
                <w:bCs/>
                <w:color w:val="000000"/>
                <w:szCs w:val="20"/>
              </w:rPr>
              <w:t>0</w:t>
            </w:r>
            <w:r>
              <w:rPr>
                <w:rFonts w:hint="eastAsia" w:ascii="宋体" w:hAnsi="宋体"/>
                <w:bCs/>
                <w:color w:val="000000"/>
                <w:szCs w:val="20"/>
              </w:rPr>
              <w:t>%</w:t>
            </w:r>
          </w:p>
        </w:tc>
      </w:tr>
      <w:tr>
        <w:tc>
          <w:tcPr>
            <w:tcW w:w="1755"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课堂展示2</w:t>
            </w:r>
          </w:p>
        </w:tc>
        <w:tc>
          <w:tcPr>
            <w:tcW w:w="1615"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r>
              <w:rPr>
                <w:rFonts w:ascii="宋体" w:hAnsi="宋体"/>
                <w:bCs/>
                <w:color w:val="000000"/>
                <w:szCs w:val="20"/>
              </w:rPr>
              <w:t>0</w:t>
            </w:r>
            <w:r>
              <w:rPr>
                <w:rFonts w:hint="eastAsia" w:ascii="宋体" w:hAnsi="宋体"/>
                <w:bCs/>
                <w:color w:val="000000"/>
                <w:szCs w:val="20"/>
              </w:rPr>
              <w:t>%</w:t>
            </w:r>
          </w:p>
        </w:tc>
      </w:tr>
      <w:tr>
        <w:tc>
          <w:tcPr>
            <w:tcW w:w="1755"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课堂展示3</w:t>
            </w:r>
          </w:p>
        </w:tc>
        <w:tc>
          <w:tcPr>
            <w:tcW w:w="1615"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r>
              <w:rPr>
                <w:rFonts w:ascii="宋体" w:hAnsi="宋体"/>
                <w:bCs/>
                <w:color w:val="000000"/>
                <w:szCs w:val="20"/>
              </w:rPr>
              <w:t>0</w:t>
            </w:r>
            <w:r>
              <w:rPr>
                <w:rFonts w:hint="eastAsia" w:ascii="宋体" w:hAnsi="宋体"/>
                <w:bCs/>
                <w:color w:val="000000"/>
                <w:szCs w:val="20"/>
              </w:rPr>
              <w:t>%</w:t>
            </w:r>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p>
    <w:p>
      <w:pPr>
        <w:rPr>
          <w:rFonts w:hint="eastAsia"/>
          <w:sz w:val="28"/>
          <w:szCs w:val="28"/>
          <w:lang w:val="zh-TW"/>
        </w:rPr>
      </w:pPr>
    </w:p>
    <w:p>
      <w:pPr>
        <w:rPr>
          <w:sz w:val="28"/>
          <w:szCs w:val="28"/>
        </w:rPr>
      </w:pPr>
      <w:r>
        <w:rPr>
          <w:rFonts w:hint="eastAsia"/>
          <w:sz w:val="28"/>
          <w:szCs w:val="28"/>
          <w:lang w:val="zh-TW"/>
        </w:rPr>
        <w:t>撰写人：</w:t>
      </w:r>
      <w:r>
        <w:rPr>
          <w:rFonts w:hint="default"/>
          <w:sz w:val="28"/>
          <w:szCs w:val="28"/>
        </w:rPr>
        <w:t xml:space="preserve"> </w:t>
      </w:r>
      <w:r>
        <w:rPr>
          <w:rFonts w:hint="eastAsia"/>
          <w:sz w:val="28"/>
          <w:szCs w:val="28"/>
          <w:lang w:val="zh-TW"/>
        </w:rPr>
        <w:t xml:space="preserve">  </w:t>
      </w:r>
      <w:r>
        <w:rPr>
          <w:rFonts w:eastAsia="PMingLiU"/>
          <w:sz w:val="28"/>
          <w:szCs w:val="28"/>
          <w:lang w:val="zh-TW" w:eastAsia="zh-TW"/>
        </w:rPr>
        <w:t xml:space="preserve"> </w:t>
      </w:r>
      <w:r>
        <w:rPr>
          <w:rFonts w:hint="eastAsia"/>
          <w:sz w:val="28"/>
          <w:szCs w:val="28"/>
          <w:lang w:val="zh-TW"/>
        </w:rPr>
        <w:t>主任审核签名：</w:t>
      </w:r>
      <w:r>
        <w:rPr>
          <w:rFonts w:hint="default"/>
          <w:sz w:val="28"/>
          <w:szCs w:val="28"/>
        </w:rPr>
        <w:t xml:space="preserve"> </w:t>
      </w:r>
      <w:bookmarkStart w:id="4" w:name="_GoBack"/>
      <w:bookmarkEnd w:id="4"/>
      <w:r>
        <w:rPr>
          <w:rFonts w:hint="eastAsia"/>
          <w:sz w:val="28"/>
          <w:szCs w:val="28"/>
          <w:lang w:val="zh-TW"/>
        </w:rPr>
        <w:t xml:space="preserve">   审核时间:2019-9-4</w:t>
      </w:r>
    </w:p>
    <w:p>
      <w:pPr>
        <w:snapToGrid w:val="0"/>
        <w:spacing w:before="120" w:after="120" w:line="288" w:lineRule="auto"/>
        <w:rPr>
          <w:rFonts w:ascii="宋体" w:hAnsi="宋体"/>
          <w:sz w:val="20"/>
          <w:szCs w:val="20"/>
          <w:highlight w:val="yellow"/>
        </w:rPr>
      </w:pPr>
      <w:r>
        <w:rPr>
          <w:rFonts w:hint="eastAsia"/>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Wingdings 2">
    <w:panose1 w:val="05020102010507070707"/>
    <w:charset w:val="02"/>
    <w:family w:val="roman"/>
    <w:pitch w:val="default"/>
    <w:sig w:usb0="00000000" w:usb1="00000000" w:usb2="00000000" w:usb3="00000000" w:csb0="00000000" w:csb1="00000000"/>
  </w:font>
  <w:font w:name="PMingLiU">
    <w:altName w:val="宋体-繁"/>
    <w:panose1 w:val="02010601000101010101"/>
    <w:charset w:val="88"/>
    <w:family w:val="roman"/>
    <w:pitch w:val="default"/>
    <w:sig w:usb0="00000000" w:usb1="00000000" w:usb2="00000016" w:usb3="00000000" w:csb0="00100001" w:csb1="00000000"/>
  </w:font>
  <w:font w:name="宋体-繁">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1435F"/>
    <w:multiLevelType w:val="singleLevel"/>
    <w:tmpl w:val="18F1435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0MzFlYzg3ZjgxYzBjOThhMWE4NjY3MmMzYTdjODgifQ=="/>
  </w:docVars>
  <w:rsids>
    <w:rsidRoot w:val="00B7651F"/>
    <w:rsid w:val="000159D0"/>
    <w:rsid w:val="00043DDE"/>
    <w:rsid w:val="00083177"/>
    <w:rsid w:val="000C217B"/>
    <w:rsid w:val="000D23C7"/>
    <w:rsid w:val="001072BC"/>
    <w:rsid w:val="001347B6"/>
    <w:rsid w:val="001A4792"/>
    <w:rsid w:val="002233EA"/>
    <w:rsid w:val="00256B39"/>
    <w:rsid w:val="0026033C"/>
    <w:rsid w:val="00261E30"/>
    <w:rsid w:val="002A1469"/>
    <w:rsid w:val="002D493B"/>
    <w:rsid w:val="002E3721"/>
    <w:rsid w:val="00313BBA"/>
    <w:rsid w:val="0032602E"/>
    <w:rsid w:val="003367AE"/>
    <w:rsid w:val="00365CC7"/>
    <w:rsid w:val="003801AC"/>
    <w:rsid w:val="003B1258"/>
    <w:rsid w:val="003B3231"/>
    <w:rsid w:val="004100B0"/>
    <w:rsid w:val="004251C4"/>
    <w:rsid w:val="00462F4C"/>
    <w:rsid w:val="004A59BE"/>
    <w:rsid w:val="004B536E"/>
    <w:rsid w:val="004C02B3"/>
    <w:rsid w:val="004D6246"/>
    <w:rsid w:val="004E4129"/>
    <w:rsid w:val="004F74A1"/>
    <w:rsid w:val="005124CB"/>
    <w:rsid w:val="00521274"/>
    <w:rsid w:val="00541A7E"/>
    <w:rsid w:val="005467DC"/>
    <w:rsid w:val="00550A90"/>
    <w:rsid w:val="00553D03"/>
    <w:rsid w:val="005B2B6D"/>
    <w:rsid w:val="005B4B4E"/>
    <w:rsid w:val="006004FA"/>
    <w:rsid w:val="00624FE1"/>
    <w:rsid w:val="0063755D"/>
    <w:rsid w:val="006416E0"/>
    <w:rsid w:val="006600BB"/>
    <w:rsid w:val="0066063A"/>
    <w:rsid w:val="0066517A"/>
    <w:rsid w:val="007107F9"/>
    <w:rsid w:val="007208D6"/>
    <w:rsid w:val="00743657"/>
    <w:rsid w:val="00761566"/>
    <w:rsid w:val="00771364"/>
    <w:rsid w:val="007E367F"/>
    <w:rsid w:val="007F1DDD"/>
    <w:rsid w:val="007F39A8"/>
    <w:rsid w:val="00813C4B"/>
    <w:rsid w:val="008A1202"/>
    <w:rsid w:val="008B3546"/>
    <w:rsid w:val="008B397C"/>
    <w:rsid w:val="008B47F4"/>
    <w:rsid w:val="008D5F9E"/>
    <w:rsid w:val="00900019"/>
    <w:rsid w:val="009463DD"/>
    <w:rsid w:val="009468B8"/>
    <w:rsid w:val="009716A9"/>
    <w:rsid w:val="00983C2F"/>
    <w:rsid w:val="0099063E"/>
    <w:rsid w:val="009A36A8"/>
    <w:rsid w:val="009A5610"/>
    <w:rsid w:val="009C7093"/>
    <w:rsid w:val="009D2587"/>
    <w:rsid w:val="009F33C9"/>
    <w:rsid w:val="00A769B1"/>
    <w:rsid w:val="00A80E24"/>
    <w:rsid w:val="00A830B8"/>
    <w:rsid w:val="00A837D5"/>
    <w:rsid w:val="00A93E02"/>
    <w:rsid w:val="00AB3E93"/>
    <w:rsid w:val="00AC4C45"/>
    <w:rsid w:val="00B20A25"/>
    <w:rsid w:val="00B46F21"/>
    <w:rsid w:val="00B511A5"/>
    <w:rsid w:val="00B63BFD"/>
    <w:rsid w:val="00B736A7"/>
    <w:rsid w:val="00B7651F"/>
    <w:rsid w:val="00B820AC"/>
    <w:rsid w:val="00B85BD0"/>
    <w:rsid w:val="00B94AFF"/>
    <w:rsid w:val="00B979FA"/>
    <w:rsid w:val="00C172D0"/>
    <w:rsid w:val="00C224BF"/>
    <w:rsid w:val="00C35911"/>
    <w:rsid w:val="00C56E09"/>
    <w:rsid w:val="00CA4B2F"/>
    <w:rsid w:val="00CF096B"/>
    <w:rsid w:val="00D67FA6"/>
    <w:rsid w:val="00DC5F4C"/>
    <w:rsid w:val="00DD74FD"/>
    <w:rsid w:val="00DE08C6"/>
    <w:rsid w:val="00DF4946"/>
    <w:rsid w:val="00E015CF"/>
    <w:rsid w:val="00E06C42"/>
    <w:rsid w:val="00E16D30"/>
    <w:rsid w:val="00E33169"/>
    <w:rsid w:val="00E70904"/>
    <w:rsid w:val="00EF44B1"/>
    <w:rsid w:val="00EF6843"/>
    <w:rsid w:val="00F02499"/>
    <w:rsid w:val="00F033A4"/>
    <w:rsid w:val="00F35AA0"/>
    <w:rsid w:val="00F83363"/>
    <w:rsid w:val="00FF12C6"/>
    <w:rsid w:val="016E63C2"/>
    <w:rsid w:val="01FD43B4"/>
    <w:rsid w:val="024B0C39"/>
    <w:rsid w:val="06221820"/>
    <w:rsid w:val="0A8128A6"/>
    <w:rsid w:val="0BF32A1B"/>
    <w:rsid w:val="10BD2C22"/>
    <w:rsid w:val="11712D98"/>
    <w:rsid w:val="17212F97"/>
    <w:rsid w:val="1B560411"/>
    <w:rsid w:val="1E04333A"/>
    <w:rsid w:val="22987C80"/>
    <w:rsid w:val="23B9690B"/>
    <w:rsid w:val="24192CCC"/>
    <w:rsid w:val="24CB0546"/>
    <w:rsid w:val="258959FE"/>
    <w:rsid w:val="301B3495"/>
    <w:rsid w:val="30F722B1"/>
    <w:rsid w:val="39A66CD4"/>
    <w:rsid w:val="3CD52CE1"/>
    <w:rsid w:val="410F2E6A"/>
    <w:rsid w:val="4430136C"/>
    <w:rsid w:val="45A85020"/>
    <w:rsid w:val="45AA271E"/>
    <w:rsid w:val="463F0B5A"/>
    <w:rsid w:val="4AB0382B"/>
    <w:rsid w:val="569868B5"/>
    <w:rsid w:val="59F77BCA"/>
    <w:rsid w:val="611F6817"/>
    <w:rsid w:val="66CA1754"/>
    <w:rsid w:val="6E5D5E72"/>
    <w:rsid w:val="6F1E65D4"/>
    <w:rsid w:val="6F266C86"/>
    <w:rsid w:val="6F5042C2"/>
    <w:rsid w:val="74316312"/>
    <w:rsid w:val="77891967"/>
    <w:rsid w:val="780F13C8"/>
    <w:rsid w:val="7AF9BE79"/>
    <w:rsid w:val="7B833A02"/>
    <w:rsid w:val="7BF74B19"/>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字符"/>
    <w:basedOn w:val="6"/>
    <w:link w:val="3"/>
    <w:semiHidden/>
    <w:qFormat/>
    <w:uiPriority w:val="99"/>
    <w:rPr>
      <w:sz w:val="18"/>
      <w:szCs w:val="18"/>
    </w:rPr>
  </w:style>
  <w:style w:type="character" w:customStyle="1" w:styleId="9">
    <w:name w:val="页脚 字符"/>
    <w:basedOn w:val="6"/>
    <w:link w:val="2"/>
    <w:semiHidden/>
    <w:qFormat/>
    <w:uiPriority w:val="99"/>
    <w:rPr>
      <w:sz w:val="18"/>
      <w:szCs w:val="18"/>
    </w:rPr>
  </w:style>
  <w:style w:type="paragraph" w:styleId="10">
    <w:name w:val="List Paragraph"/>
    <w:basedOn w:val="1"/>
    <w:qFormat/>
    <w:uiPriority w:val="99"/>
    <w:pPr>
      <w:ind w:firstLine="420" w:firstLineChars="200"/>
    </w:pPr>
  </w:style>
  <w:style w:type="character" w:customStyle="1" w:styleId="11">
    <w:name w:val="未处理的提及1"/>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3356</Words>
  <Characters>3729</Characters>
  <Lines>28</Lines>
  <Paragraphs>7</Paragraphs>
  <TotalTime>24</TotalTime>
  <ScaleCrop>false</ScaleCrop>
  <LinksUpToDate>false</LinksUpToDate>
  <CharactersWithSpaces>3786</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2016-12-19T23:34:00Z</dcterms:created>
  <dc:creator>juvg</dc:creator>
  <cp:lastModifiedBy>常、小羽</cp:lastModifiedBy>
  <dcterms:modified xsi:type="dcterms:W3CDTF">2023-09-06T17:19:13Z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44567C8B992A12EFE24CB664BD8EC775</vt:lpwstr>
  </property>
</Properties>
</file>