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D5CD0">
      <w:pPr>
        <w:widowControl/>
        <w:snapToGrid w:val="0"/>
        <w:spacing w:line="480" w:lineRule="exact"/>
        <w:jc w:val="left"/>
        <w:rPr>
          <w:rFonts w:ascii="黑体" w:hAnsi="宋体" w:eastAsia="黑体"/>
          <w:bCs/>
          <w:kern w:val="0"/>
          <w:sz w:val="32"/>
          <w:szCs w:val="32"/>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63AE423">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14:paraId="163AE423">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mc:Fallback>
        </mc:AlternateContent>
      </w:r>
    </w:p>
    <w:p w14:paraId="44AE62CB">
      <w:pPr>
        <w:spacing w:line="288" w:lineRule="auto"/>
        <w:jc w:val="center"/>
        <w:rPr>
          <w:b/>
          <w:sz w:val="28"/>
          <w:szCs w:val="30"/>
        </w:rPr>
      </w:pPr>
      <w:r>
        <w:rPr>
          <w:rFonts w:hint="eastAsia"/>
          <w:b/>
          <w:sz w:val="28"/>
          <w:szCs w:val="30"/>
        </w:rPr>
        <w:t>【数学建模】</w:t>
      </w:r>
    </w:p>
    <w:p w14:paraId="7110DE4F">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Mathematical Modeling</w:t>
      </w:r>
      <w:r>
        <w:rPr>
          <w:rFonts w:hint="eastAsia"/>
          <w:b/>
          <w:sz w:val="28"/>
          <w:szCs w:val="30"/>
        </w:rPr>
        <w:t>】</w:t>
      </w:r>
      <w:bookmarkStart w:id="0" w:name="a2"/>
      <w:bookmarkEnd w:id="0"/>
    </w:p>
    <w:p w14:paraId="2F2D715D">
      <w:pPr>
        <w:spacing w:before="156" w:beforeLines="50" w:after="156" w:afterLines="50" w:line="288" w:lineRule="auto"/>
        <w:ind w:firstLine="360" w:firstLineChars="150"/>
        <w:rPr>
          <w:rFonts w:ascii="黑体" w:hAnsi="宋体" w:eastAsia="黑体"/>
          <w:sz w:val="24"/>
        </w:rPr>
      </w:pPr>
    </w:p>
    <w:p w14:paraId="7D62CF94">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14:paraId="52C255F4">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【2138090】</w:t>
      </w:r>
    </w:p>
    <w:p w14:paraId="04684EC8">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【2】</w:t>
      </w:r>
    </w:p>
    <w:p w14:paraId="30A2F9AB">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全校本科生</w:t>
      </w:r>
      <w:r>
        <w:rPr>
          <w:color w:val="000000"/>
          <w:sz w:val="20"/>
          <w:szCs w:val="20"/>
        </w:rPr>
        <w:t>】</w:t>
      </w:r>
    </w:p>
    <w:p w14:paraId="7750D2A2">
      <w:pPr>
        <w:snapToGrid w:val="0"/>
        <w:spacing w:line="288" w:lineRule="auto"/>
        <w:ind w:firstLine="394" w:firstLineChars="196"/>
        <w:rPr>
          <w:rFonts w:hint="eastAsia"/>
          <w:color w:val="000000"/>
          <w:sz w:val="20"/>
          <w:szCs w:val="20"/>
        </w:rPr>
      </w:pPr>
      <w:r>
        <w:rPr>
          <w:b/>
          <w:bCs/>
          <w:color w:val="000000"/>
          <w:sz w:val="20"/>
          <w:szCs w:val="20"/>
        </w:rPr>
        <w:t>课程性质：</w:t>
      </w:r>
      <w:r>
        <w:rPr>
          <w:rFonts w:hint="eastAsia"/>
          <w:color w:val="000000"/>
          <w:sz w:val="20"/>
          <w:szCs w:val="20"/>
        </w:rPr>
        <w:t>通识教育公共选修课</w:t>
      </w:r>
    </w:p>
    <w:p w14:paraId="72AD95EC">
      <w:pPr>
        <w:snapToGrid w:val="0"/>
        <w:spacing w:line="288" w:lineRule="auto"/>
        <w:ind w:firstLine="394" w:firstLineChars="196"/>
        <w:rPr>
          <w:b/>
          <w:bCs/>
          <w:color w:val="000000"/>
          <w:szCs w:val="21"/>
        </w:rPr>
      </w:pPr>
      <w:r>
        <w:rPr>
          <w:b/>
          <w:bCs/>
          <w:color w:val="000000"/>
          <w:sz w:val="20"/>
          <w:szCs w:val="20"/>
        </w:rPr>
        <w:t>开课院系：</w:t>
      </w:r>
      <w:r>
        <w:rPr>
          <w:rFonts w:hint="eastAsia"/>
          <w:bCs/>
          <w:color w:val="000000"/>
          <w:sz w:val="20"/>
          <w:szCs w:val="20"/>
        </w:rPr>
        <w:t>教育学院</w:t>
      </w:r>
    </w:p>
    <w:p w14:paraId="085D6F5B">
      <w:pPr>
        <w:snapToGrid w:val="0"/>
        <w:spacing w:line="288" w:lineRule="auto"/>
        <w:ind w:firstLine="394" w:firstLineChars="196"/>
        <w:rPr>
          <w:color w:val="000000"/>
          <w:sz w:val="20"/>
          <w:szCs w:val="20"/>
        </w:rPr>
      </w:pPr>
      <w:r>
        <w:rPr>
          <w:b/>
          <w:bCs/>
          <w:color w:val="000000"/>
          <w:sz w:val="20"/>
          <w:szCs w:val="20"/>
        </w:rPr>
        <w:t>使用教材：</w:t>
      </w:r>
    </w:p>
    <w:p w14:paraId="0385A9D7">
      <w:pPr>
        <w:snapToGrid w:val="0"/>
        <w:spacing w:line="288" w:lineRule="auto"/>
        <w:ind w:firstLine="792" w:firstLineChars="396"/>
        <w:rPr>
          <w:color w:val="000000"/>
          <w:sz w:val="20"/>
          <w:szCs w:val="20"/>
        </w:rPr>
      </w:pPr>
      <w:r>
        <w:rPr>
          <w:rFonts w:hint="eastAsia"/>
          <w:color w:val="000000"/>
          <w:sz w:val="20"/>
          <w:szCs w:val="20"/>
        </w:rPr>
        <w:t>主教材【数学模型 姜启源、谢金星、叶俊编 高等教育出版社 第四版】</w:t>
      </w:r>
    </w:p>
    <w:p w14:paraId="39D13DED">
      <w:pPr>
        <w:snapToGrid w:val="0"/>
        <w:spacing w:line="288" w:lineRule="auto"/>
        <w:ind w:firstLine="392" w:firstLineChars="196"/>
        <w:rPr>
          <w:color w:val="000000"/>
          <w:sz w:val="20"/>
          <w:szCs w:val="20"/>
        </w:rPr>
      </w:pPr>
      <w:r>
        <w:rPr>
          <w:rFonts w:hint="eastAsia"/>
          <w:color w:val="000000"/>
          <w:sz w:val="20"/>
          <w:szCs w:val="20"/>
        </w:rPr>
        <w:t xml:space="preserve">    辅助教材【数学建模及其基础知识详解 王文波 武汉大学出版社 第1版】</w:t>
      </w:r>
    </w:p>
    <w:p w14:paraId="2B417601">
      <w:pPr>
        <w:snapToGrid w:val="0"/>
        <w:spacing w:line="288" w:lineRule="auto"/>
        <w:ind w:firstLine="392" w:firstLineChars="196"/>
        <w:rPr>
          <w:color w:val="000000"/>
          <w:sz w:val="20"/>
          <w:szCs w:val="20"/>
        </w:rPr>
      </w:pPr>
      <w:r>
        <w:rPr>
          <w:rFonts w:hint="eastAsia"/>
          <w:color w:val="000000"/>
          <w:sz w:val="20"/>
          <w:szCs w:val="20"/>
        </w:rPr>
        <w:t xml:space="preserve">    参考教材【数学建模方法及其应用 韩中庚 高等教育出版社 第1版】</w:t>
      </w:r>
    </w:p>
    <w:p w14:paraId="0958D417">
      <w:pPr>
        <w:snapToGrid w:val="0"/>
        <w:spacing w:line="288" w:lineRule="auto"/>
        <w:ind w:firstLine="392" w:firstLineChars="196"/>
        <w:rPr>
          <w:color w:val="000000"/>
          <w:sz w:val="20"/>
          <w:szCs w:val="20"/>
        </w:rPr>
      </w:pPr>
      <w:r>
        <w:rPr>
          <w:rFonts w:hint="eastAsia"/>
          <w:color w:val="000000"/>
          <w:sz w:val="20"/>
          <w:szCs w:val="20"/>
        </w:rPr>
        <w:t xml:space="preserve">    参考教材【数学建模算法与应用 司守奎 国防工业出版社 第2版】</w:t>
      </w:r>
    </w:p>
    <w:p w14:paraId="2FCD3406">
      <w:pPr>
        <w:snapToGrid w:val="0"/>
        <w:spacing w:line="288" w:lineRule="auto"/>
        <w:ind w:firstLine="394" w:firstLineChars="196"/>
        <w:jc w:val="left"/>
        <w:rPr>
          <w:b/>
          <w:bCs/>
          <w:color w:val="000000"/>
          <w:sz w:val="20"/>
          <w:szCs w:val="20"/>
        </w:rPr>
      </w:pPr>
      <w:r>
        <w:rPr>
          <w:rFonts w:hint="eastAsia"/>
          <w:b/>
          <w:bCs/>
          <w:color w:val="000000"/>
          <w:sz w:val="20"/>
          <w:szCs w:val="20"/>
        </w:rPr>
        <w:t xml:space="preserve">课程网站网址：    </w:t>
      </w:r>
      <w:r>
        <w:rPr>
          <w:color w:val="000000"/>
          <w:sz w:val="20"/>
          <w:szCs w:val="20"/>
        </w:rPr>
        <w:t>http://kczx.gench.edu.cn/G2S/Template/View.aspx?action=view&amp;courseType=0&amp;courseId=27227</w:t>
      </w:r>
    </w:p>
    <w:p w14:paraId="6E519076">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高等数学（上） 2100012（5）、 高等数学（下） 2100014（4）、</w:t>
      </w:r>
    </w:p>
    <w:p w14:paraId="4A1FE73E">
      <w:pPr>
        <w:adjustRightInd w:val="0"/>
        <w:snapToGrid w:val="0"/>
        <w:spacing w:line="288" w:lineRule="auto"/>
        <w:ind w:firstLine="392" w:firstLineChars="196"/>
        <w:rPr>
          <w:color w:val="000000"/>
          <w:sz w:val="20"/>
          <w:szCs w:val="20"/>
        </w:rPr>
      </w:pPr>
      <w:r>
        <w:rPr>
          <w:rFonts w:hint="eastAsia"/>
          <w:color w:val="000000"/>
          <w:sz w:val="20"/>
          <w:szCs w:val="20"/>
        </w:rPr>
        <w:t xml:space="preserve">           线性代数 2100025（2）、概率论与数理统计 2100008（2）</w:t>
      </w:r>
      <w:r>
        <w:rPr>
          <w:color w:val="000000"/>
          <w:sz w:val="20"/>
          <w:szCs w:val="20"/>
        </w:rPr>
        <w:t>】</w:t>
      </w:r>
    </w:p>
    <w:p w14:paraId="44F71069">
      <w:pPr>
        <w:adjustRightInd w:val="0"/>
        <w:snapToGrid w:val="0"/>
        <w:spacing w:line="288" w:lineRule="auto"/>
        <w:ind w:firstLine="392" w:firstLineChars="196"/>
        <w:rPr>
          <w:color w:val="000000"/>
          <w:sz w:val="20"/>
          <w:szCs w:val="20"/>
        </w:rPr>
      </w:pPr>
    </w:p>
    <w:p w14:paraId="553D72A5">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14:paraId="3164105D">
      <w:pPr>
        <w:ind w:firstLine="400" w:firstLineChars="200"/>
        <w:rPr>
          <w:rFonts w:ascii="仿宋_GB2312"/>
          <w:color w:val="000000"/>
          <w:szCs w:val="21"/>
        </w:rPr>
      </w:pPr>
      <w:r>
        <w:rPr>
          <w:rFonts w:hint="eastAsia"/>
          <w:color w:val="000000"/>
          <w:sz w:val="20"/>
          <w:szCs w:val="20"/>
        </w:rPr>
        <w:t>数学建模是研究如何将数学方法和计算机知识结合起来用于解决实际生活中存在问题的一门边缘交叉学科，数学建模是集经典数学、现代数学和实际问题为一体的一门新型课程，是用数学解决实际问题的重要手段和途径。本课程主要介绍数学建模的概述、初等模型、数学规划模型、微分方程模型、概率统计模型、统计回归模型、动态优化模型等基本建模方法及求解方法。</w:t>
      </w:r>
    </w:p>
    <w:p w14:paraId="66D49341">
      <w:pPr>
        <w:snapToGrid w:val="0"/>
        <w:spacing w:line="288" w:lineRule="auto"/>
        <w:ind w:firstLine="400" w:firstLineChars="200"/>
        <w:rPr>
          <w:color w:val="000000"/>
          <w:sz w:val="20"/>
          <w:szCs w:val="20"/>
        </w:rPr>
      </w:pPr>
      <w:r>
        <w:rPr>
          <w:rFonts w:hint="eastAsia"/>
          <w:color w:val="000000"/>
          <w:sz w:val="20"/>
          <w:szCs w:val="20"/>
        </w:rPr>
        <w:t>本课程在工科专业和经济管理类专业中有很好的应用，通过学习该课程，学生可以加深在高等数学、线性代数、概率统计课程中所学知识的认识，激励学生学习数学的积极性，提高洞察能力、运用数学知识分析和解决实际问题的能力，及计算机编程、论文写作等各方面综合能力，提升自己的数学修养，开拓知识面，培养创新精神。</w:t>
      </w:r>
    </w:p>
    <w:p w14:paraId="04220BCB">
      <w:pPr>
        <w:snapToGrid w:val="0"/>
        <w:spacing w:line="288" w:lineRule="auto"/>
        <w:ind w:firstLine="400" w:firstLineChars="200"/>
        <w:rPr>
          <w:color w:val="000000"/>
          <w:sz w:val="20"/>
          <w:szCs w:val="20"/>
        </w:rPr>
      </w:pPr>
      <w:r>
        <w:rPr>
          <w:color w:val="000000"/>
          <w:sz w:val="20"/>
          <w:szCs w:val="20"/>
        </w:rPr>
        <w:t>通过各个教学环节逐步培养学生创新精神，求实严谨的学习习惯，提高学生逻辑推理能力 ，抽象思维能力，发现问题、分析和解决问题的能力</w:t>
      </w:r>
      <w:r>
        <w:rPr>
          <w:rFonts w:hint="eastAsia"/>
          <w:color w:val="000000"/>
          <w:sz w:val="20"/>
          <w:szCs w:val="20"/>
        </w:rPr>
        <w:t>。同时把课程思政融入教学中，让学生</w:t>
      </w:r>
      <w:r>
        <w:rPr>
          <w:color w:val="000000"/>
          <w:sz w:val="20"/>
          <w:szCs w:val="20"/>
        </w:rPr>
        <w:t>体会马克思辩证唯物主义思想和方法论，坚定民族文化自信，培养学生高尚人格和爱国情怀。</w:t>
      </w:r>
    </w:p>
    <w:p w14:paraId="292B22CB">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14:paraId="76E29A7D">
      <w:pPr>
        <w:snapToGrid w:val="0"/>
        <w:spacing w:line="288" w:lineRule="auto"/>
        <w:ind w:firstLine="400" w:firstLineChars="200"/>
        <w:rPr>
          <w:color w:val="000000"/>
          <w:sz w:val="20"/>
          <w:szCs w:val="20"/>
        </w:rPr>
      </w:pPr>
      <w:r>
        <w:rPr>
          <w:rFonts w:hint="eastAsia"/>
          <w:color w:val="000000"/>
          <w:sz w:val="20"/>
          <w:szCs w:val="20"/>
        </w:rPr>
        <w:t>适合各专业二年级及以上学生选修（本科生），要求具备高等数学、概率论与数理统计、线性代数等基础课程知识（或者至少具备其中一门课程相关知识），基本的任一门计算机语言编程能力，基本写作能力。</w:t>
      </w:r>
    </w:p>
    <w:p w14:paraId="6E4D97F5">
      <w:r>
        <w:rPr>
          <w:rFonts w:hint="eastAsia"/>
        </w:rPr>
        <w:t xml:space="preserve"> </w:t>
      </w:r>
      <w:r>
        <w:t xml:space="preserve">   </w:t>
      </w:r>
    </w:p>
    <w:p w14:paraId="31CB773C"/>
    <w:p w14:paraId="65A9FB8E">
      <w:pPr>
        <w:spacing w:line="360" w:lineRule="auto"/>
        <w:ind w:firstLine="240" w:firstLineChars="100"/>
        <w:rPr>
          <w:rFonts w:ascii="黑体" w:hAnsi="宋体" w:eastAsia="黑体"/>
          <w:sz w:val="24"/>
        </w:rPr>
      </w:pPr>
      <w:r>
        <w:rPr>
          <w:rFonts w:hint="eastAsia" w:ascii="黑体" w:hAnsi="宋体" w:eastAsia="黑体"/>
          <w:sz w:val="24"/>
        </w:rPr>
        <w:t>四、</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1879"/>
        <w:gridCol w:w="1680"/>
      </w:tblGrid>
      <w:tr w14:paraId="4913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14:paraId="452470B8">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22051F88">
            <w:pPr>
              <w:snapToGrid w:val="0"/>
              <w:spacing w:line="288" w:lineRule="auto"/>
              <w:jc w:val="center"/>
              <w:rPr>
                <w:b/>
                <w:color w:val="000000"/>
                <w:sz w:val="20"/>
                <w:szCs w:val="20"/>
              </w:rPr>
            </w:pPr>
            <w:r>
              <w:rPr>
                <w:rFonts w:hint="eastAsia"/>
                <w:b/>
                <w:color w:val="000000"/>
                <w:sz w:val="20"/>
                <w:szCs w:val="20"/>
              </w:rPr>
              <w:t>课程预期</w:t>
            </w:r>
          </w:p>
          <w:p w14:paraId="39977255">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0209FD20">
            <w:pPr>
              <w:snapToGrid w:val="0"/>
              <w:spacing w:line="288" w:lineRule="auto"/>
              <w:jc w:val="center"/>
              <w:rPr>
                <w:b/>
                <w:color w:val="000000"/>
                <w:sz w:val="20"/>
                <w:szCs w:val="20"/>
                <w:highlight w:val="yellow"/>
              </w:rPr>
            </w:pPr>
            <w:r>
              <w:rPr>
                <w:rFonts w:hint="eastAsia"/>
                <w:b/>
                <w:color w:val="000000"/>
                <w:sz w:val="20"/>
                <w:szCs w:val="20"/>
              </w:rPr>
              <w:t>课程目标</w:t>
            </w:r>
          </w:p>
          <w:p w14:paraId="54406AB9">
            <w:pPr>
              <w:snapToGrid w:val="0"/>
              <w:spacing w:line="288" w:lineRule="auto"/>
              <w:jc w:val="center"/>
              <w:rPr>
                <w:b/>
                <w:color w:val="000000"/>
                <w:sz w:val="20"/>
                <w:szCs w:val="20"/>
              </w:rPr>
            </w:pPr>
            <w:r>
              <w:rPr>
                <w:rFonts w:hint="eastAsia"/>
                <w:b/>
                <w:color w:val="000000"/>
                <w:sz w:val="20"/>
                <w:szCs w:val="20"/>
              </w:rPr>
              <w:t>（细化的预期学习成果）</w:t>
            </w:r>
          </w:p>
        </w:tc>
        <w:tc>
          <w:tcPr>
            <w:tcW w:w="1879" w:type="dxa"/>
            <w:shd w:val="clear" w:color="auto" w:fill="auto"/>
            <w:vAlign w:val="center"/>
          </w:tcPr>
          <w:p w14:paraId="464B1A98">
            <w:pPr>
              <w:snapToGrid w:val="0"/>
              <w:spacing w:line="288" w:lineRule="auto"/>
              <w:jc w:val="center"/>
              <w:rPr>
                <w:b/>
                <w:color w:val="000000"/>
                <w:sz w:val="20"/>
                <w:szCs w:val="20"/>
              </w:rPr>
            </w:pPr>
            <w:r>
              <w:rPr>
                <w:rFonts w:hint="eastAsia"/>
                <w:b/>
                <w:color w:val="000000"/>
                <w:sz w:val="20"/>
                <w:szCs w:val="20"/>
              </w:rPr>
              <w:t>教与学方式</w:t>
            </w:r>
          </w:p>
        </w:tc>
        <w:tc>
          <w:tcPr>
            <w:tcW w:w="1680" w:type="dxa"/>
            <w:shd w:val="clear" w:color="auto" w:fill="auto"/>
            <w:vAlign w:val="center"/>
          </w:tcPr>
          <w:p w14:paraId="4A480C77">
            <w:pPr>
              <w:snapToGrid w:val="0"/>
              <w:spacing w:line="288" w:lineRule="auto"/>
              <w:jc w:val="center"/>
              <w:rPr>
                <w:b/>
                <w:color w:val="000000"/>
                <w:sz w:val="20"/>
                <w:szCs w:val="20"/>
              </w:rPr>
            </w:pPr>
            <w:r>
              <w:rPr>
                <w:rFonts w:hint="eastAsia"/>
                <w:b/>
                <w:color w:val="000000"/>
                <w:sz w:val="20"/>
                <w:szCs w:val="20"/>
              </w:rPr>
              <w:t>评价方式</w:t>
            </w:r>
          </w:p>
        </w:tc>
      </w:tr>
      <w:tr w14:paraId="50D7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14:paraId="797A3045">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vMerge w:val="restart"/>
            <w:shd w:val="clear" w:color="auto" w:fill="auto"/>
            <w:vAlign w:val="center"/>
          </w:tcPr>
          <w:p w14:paraId="5F9AC10C">
            <w:pPr>
              <w:rPr>
                <w:rFonts w:ascii="仿宋" w:hAnsi="仿宋" w:eastAsia="仿宋" w:cs="宋体"/>
                <w:color w:val="000000"/>
                <w:kern w:val="0"/>
                <w:sz w:val="24"/>
              </w:rPr>
            </w:pPr>
            <w:r>
              <w:rPr>
                <w:rFonts w:hint="eastAsia" w:ascii="仿宋" w:hAnsi="仿宋" w:eastAsia="仿宋" w:cs="宋体"/>
                <w:color w:val="000000"/>
                <w:kern w:val="0"/>
                <w:sz w:val="24"/>
                <w:szCs w:val="24"/>
              </w:rPr>
              <w:t>LO311</w:t>
            </w:r>
          </w:p>
        </w:tc>
        <w:tc>
          <w:tcPr>
            <w:tcW w:w="2470" w:type="dxa"/>
            <w:shd w:val="clear" w:color="auto" w:fill="auto"/>
          </w:tcPr>
          <w:p w14:paraId="4EECDE79">
            <w:pPr>
              <w:rPr>
                <w:bCs/>
                <w:sz w:val="20"/>
                <w:szCs w:val="20"/>
              </w:rPr>
            </w:pPr>
            <w:r>
              <w:rPr>
                <w:rFonts w:hint="eastAsia"/>
                <w:bCs/>
                <w:sz w:val="20"/>
                <w:szCs w:val="20"/>
              </w:rPr>
              <w:t>1.查找、搜集学习资源</w:t>
            </w:r>
          </w:p>
        </w:tc>
        <w:tc>
          <w:tcPr>
            <w:tcW w:w="1879" w:type="dxa"/>
            <w:shd w:val="clear" w:color="auto" w:fill="auto"/>
          </w:tcPr>
          <w:p w14:paraId="701F9E1F">
            <w:pPr>
              <w:snapToGrid w:val="0"/>
              <w:spacing w:line="288" w:lineRule="auto"/>
              <w:rPr>
                <w:rFonts w:ascii="黑体" w:hAnsi="宋体" w:eastAsia="黑体"/>
                <w:sz w:val="24"/>
              </w:rPr>
            </w:pPr>
            <w:r>
              <w:rPr>
                <w:rFonts w:hint="eastAsia"/>
                <w:bCs/>
                <w:sz w:val="20"/>
                <w:szCs w:val="20"/>
              </w:rPr>
              <w:t>查找相关资料模型</w:t>
            </w:r>
          </w:p>
        </w:tc>
        <w:tc>
          <w:tcPr>
            <w:tcW w:w="1680" w:type="dxa"/>
            <w:shd w:val="clear" w:color="auto" w:fill="auto"/>
          </w:tcPr>
          <w:p w14:paraId="0802071F">
            <w:pPr>
              <w:snapToGrid w:val="0"/>
              <w:spacing w:line="288" w:lineRule="auto"/>
              <w:rPr>
                <w:rFonts w:ascii="黑体" w:hAnsi="宋体" w:eastAsia="黑体"/>
                <w:sz w:val="24"/>
              </w:rPr>
            </w:pPr>
            <w:r>
              <w:rPr>
                <w:rFonts w:hint="eastAsia"/>
                <w:bCs/>
                <w:sz w:val="20"/>
                <w:szCs w:val="20"/>
              </w:rPr>
              <w:t>出勤及课堂表现</w:t>
            </w:r>
          </w:p>
        </w:tc>
      </w:tr>
      <w:tr w14:paraId="5C62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14:paraId="06BE4A86">
            <w:pPr>
              <w:rPr>
                <w:rFonts w:ascii="仿宋" w:hAnsi="仿宋" w:eastAsia="仿宋" w:cs="宋体"/>
                <w:color w:val="000000"/>
                <w:kern w:val="0"/>
                <w:sz w:val="24"/>
              </w:rPr>
            </w:pPr>
          </w:p>
        </w:tc>
        <w:tc>
          <w:tcPr>
            <w:tcW w:w="1175" w:type="dxa"/>
            <w:vMerge w:val="continue"/>
            <w:shd w:val="clear" w:color="auto" w:fill="auto"/>
          </w:tcPr>
          <w:p w14:paraId="4D3DAB0E">
            <w:pPr>
              <w:rPr>
                <w:rFonts w:ascii="仿宋" w:hAnsi="仿宋" w:eastAsia="仿宋" w:cs="宋体"/>
                <w:color w:val="000000"/>
                <w:kern w:val="0"/>
                <w:sz w:val="24"/>
              </w:rPr>
            </w:pPr>
          </w:p>
        </w:tc>
        <w:tc>
          <w:tcPr>
            <w:tcW w:w="2470" w:type="dxa"/>
            <w:shd w:val="clear" w:color="auto" w:fill="auto"/>
          </w:tcPr>
          <w:p w14:paraId="51D810A7">
            <w:pPr>
              <w:rPr>
                <w:bCs/>
                <w:sz w:val="20"/>
                <w:szCs w:val="20"/>
              </w:rPr>
            </w:pPr>
            <w:r>
              <w:rPr>
                <w:rFonts w:hint="eastAsia"/>
                <w:bCs/>
                <w:sz w:val="20"/>
                <w:szCs w:val="20"/>
              </w:rPr>
              <w:t>2.梳理模型中各变量之间相互关系</w:t>
            </w:r>
          </w:p>
        </w:tc>
        <w:tc>
          <w:tcPr>
            <w:tcW w:w="1879" w:type="dxa"/>
            <w:shd w:val="clear" w:color="auto" w:fill="auto"/>
          </w:tcPr>
          <w:p w14:paraId="6903A4F7">
            <w:pPr>
              <w:snapToGrid w:val="0"/>
              <w:spacing w:line="288" w:lineRule="auto"/>
              <w:jc w:val="center"/>
              <w:rPr>
                <w:bCs/>
                <w:sz w:val="20"/>
                <w:szCs w:val="20"/>
              </w:rPr>
            </w:pPr>
            <w:r>
              <w:rPr>
                <w:rFonts w:hint="eastAsia"/>
                <w:bCs/>
                <w:sz w:val="20"/>
                <w:szCs w:val="20"/>
              </w:rPr>
              <w:t>筛选身边与专业有</w:t>
            </w:r>
          </w:p>
          <w:p w14:paraId="4BDC90D0">
            <w:pPr>
              <w:snapToGrid w:val="0"/>
              <w:spacing w:line="288" w:lineRule="auto"/>
              <w:rPr>
                <w:rFonts w:ascii="黑体" w:hAnsi="宋体" w:eastAsia="黑体"/>
                <w:sz w:val="24"/>
              </w:rPr>
            </w:pPr>
            <w:r>
              <w:rPr>
                <w:rFonts w:hint="eastAsia"/>
                <w:bCs/>
                <w:sz w:val="20"/>
                <w:szCs w:val="20"/>
              </w:rPr>
              <w:t>关的案例</w:t>
            </w:r>
          </w:p>
        </w:tc>
        <w:tc>
          <w:tcPr>
            <w:tcW w:w="1680" w:type="dxa"/>
            <w:shd w:val="clear" w:color="auto" w:fill="auto"/>
          </w:tcPr>
          <w:p w14:paraId="67AC69C8">
            <w:pPr>
              <w:snapToGrid w:val="0"/>
              <w:spacing w:line="288" w:lineRule="auto"/>
              <w:jc w:val="center"/>
              <w:rPr>
                <w:rFonts w:ascii="黑体" w:hAnsi="宋体"/>
                <w:sz w:val="24"/>
              </w:rPr>
            </w:pPr>
            <w:r>
              <w:rPr>
                <w:rFonts w:hint="eastAsia"/>
                <w:bCs/>
                <w:sz w:val="20"/>
                <w:szCs w:val="20"/>
              </w:rPr>
              <w:t>模型展示介绍</w:t>
            </w:r>
          </w:p>
        </w:tc>
      </w:tr>
      <w:tr w14:paraId="15FE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14:paraId="5CDA2801">
            <w:pPr>
              <w:rPr>
                <w:rFonts w:ascii="仿宋" w:hAnsi="仿宋" w:eastAsia="仿宋" w:cs="宋体"/>
                <w:color w:val="000000"/>
                <w:kern w:val="0"/>
                <w:sz w:val="24"/>
              </w:rPr>
            </w:pPr>
          </w:p>
        </w:tc>
        <w:tc>
          <w:tcPr>
            <w:tcW w:w="1175" w:type="dxa"/>
            <w:vMerge w:val="continue"/>
            <w:shd w:val="clear" w:color="auto" w:fill="auto"/>
          </w:tcPr>
          <w:p w14:paraId="383D95C4">
            <w:pPr>
              <w:rPr>
                <w:rFonts w:ascii="仿宋" w:hAnsi="仿宋" w:eastAsia="仿宋" w:cs="宋体"/>
                <w:color w:val="000000"/>
                <w:kern w:val="0"/>
                <w:sz w:val="24"/>
              </w:rPr>
            </w:pPr>
          </w:p>
        </w:tc>
        <w:tc>
          <w:tcPr>
            <w:tcW w:w="2470" w:type="dxa"/>
            <w:shd w:val="clear" w:color="auto" w:fill="auto"/>
          </w:tcPr>
          <w:p w14:paraId="2DA74D28">
            <w:pPr>
              <w:rPr>
                <w:bCs/>
                <w:sz w:val="20"/>
                <w:szCs w:val="20"/>
              </w:rPr>
            </w:pPr>
            <w:r>
              <w:rPr>
                <w:rFonts w:hint="eastAsia"/>
                <w:bCs/>
                <w:sz w:val="20"/>
                <w:szCs w:val="20"/>
              </w:rPr>
              <w:t>3.能应用数学工具，定性和定量分析实际问题</w:t>
            </w:r>
          </w:p>
        </w:tc>
        <w:tc>
          <w:tcPr>
            <w:tcW w:w="1879" w:type="dxa"/>
            <w:shd w:val="clear" w:color="auto" w:fill="auto"/>
          </w:tcPr>
          <w:p w14:paraId="0647BFEA">
            <w:pPr>
              <w:snapToGrid w:val="0"/>
              <w:spacing w:line="288" w:lineRule="auto"/>
              <w:rPr>
                <w:rFonts w:ascii="黑体" w:hAnsi="宋体" w:eastAsia="黑体"/>
                <w:sz w:val="24"/>
              </w:rPr>
            </w:pPr>
            <w:r>
              <w:rPr>
                <w:rFonts w:hint="eastAsia"/>
                <w:bCs/>
                <w:sz w:val="20"/>
                <w:szCs w:val="20"/>
              </w:rPr>
              <w:t>了解相关模型，具备基本的建模能力</w:t>
            </w:r>
          </w:p>
        </w:tc>
        <w:tc>
          <w:tcPr>
            <w:tcW w:w="1680" w:type="dxa"/>
            <w:shd w:val="clear" w:color="auto" w:fill="auto"/>
          </w:tcPr>
          <w:p w14:paraId="099A3952">
            <w:pPr>
              <w:snapToGrid w:val="0"/>
              <w:spacing w:line="288" w:lineRule="auto"/>
              <w:jc w:val="center"/>
              <w:rPr>
                <w:bCs/>
                <w:sz w:val="20"/>
                <w:szCs w:val="20"/>
              </w:rPr>
            </w:pPr>
            <w:r>
              <w:rPr>
                <w:rFonts w:hint="eastAsia"/>
                <w:bCs/>
                <w:sz w:val="20"/>
                <w:szCs w:val="20"/>
              </w:rPr>
              <w:t>模型展示介绍</w:t>
            </w:r>
          </w:p>
          <w:p w14:paraId="7C95B2F0">
            <w:pPr>
              <w:snapToGrid w:val="0"/>
              <w:spacing w:line="288" w:lineRule="auto"/>
              <w:jc w:val="center"/>
              <w:rPr>
                <w:rFonts w:ascii="黑体" w:hAnsi="宋体" w:eastAsia="黑体"/>
                <w:sz w:val="24"/>
              </w:rPr>
            </w:pPr>
            <w:r>
              <w:rPr>
                <w:rFonts w:hint="eastAsia"/>
                <w:bCs/>
                <w:sz w:val="20"/>
                <w:szCs w:val="20"/>
              </w:rPr>
              <w:t>平时作业</w:t>
            </w:r>
          </w:p>
        </w:tc>
      </w:tr>
      <w:tr w14:paraId="25E2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14:paraId="612F715B">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vMerge w:val="restart"/>
            <w:shd w:val="clear" w:color="auto" w:fill="auto"/>
          </w:tcPr>
          <w:p w14:paraId="741C889F">
            <w:pPr>
              <w:rPr>
                <w:rFonts w:ascii="仿宋" w:hAnsi="仿宋" w:eastAsia="仿宋" w:cs="宋体"/>
                <w:color w:val="000000"/>
                <w:kern w:val="0"/>
                <w:sz w:val="24"/>
              </w:rPr>
            </w:pPr>
            <w:r>
              <w:rPr>
                <w:rFonts w:hint="eastAsia" w:ascii="仿宋" w:hAnsi="仿宋" w:eastAsia="仿宋" w:cs="宋体"/>
                <w:color w:val="000000"/>
                <w:kern w:val="0"/>
                <w:sz w:val="24"/>
                <w:szCs w:val="24"/>
              </w:rPr>
              <w:t>LO711</w:t>
            </w:r>
          </w:p>
        </w:tc>
        <w:tc>
          <w:tcPr>
            <w:tcW w:w="2470" w:type="dxa"/>
            <w:shd w:val="clear" w:color="auto" w:fill="auto"/>
          </w:tcPr>
          <w:p w14:paraId="05B2306E">
            <w:pPr>
              <w:rPr>
                <w:bCs/>
                <w:sz w:val="20"/>
                <w:szCs w:val="20"/>
              </w:rPr>
            </w:pPr>
            <w:r>
              <w:rPr>
                <w:rFonts w:hint="eastAsia"/>
                <w:bCs/>
                <w:sz w:val="20"/>
                <w:szCs w:val="20"/>
              </w:rPr>
              <w:t>1.结合问题改进模型</w:t>
            </w:r>
          </w:p>
        </w:tc>
        <w:tc>
          <w:tcPr>
            <w:tcW w:w="1879" w:type="dxa"/>
            <w:shd w:val="clear" w:color="auto" w:fill="auto"/>
          </w:tcPr>
          <w:p w14:paraId="1FF89865">
            <w:pPr>
              <w:snapToGrid w:val="0"/>
              <w:spacing w:line="288" w:lineRule="auto"/>
              <w:rPr>
                <w:rFonts w:ascii="黑体" w:hAnsi="宋体" w:eastAsia="黑体"/>
                <w:sz w:val="24"/>
              </w:rPr>
            </w:pPr>
            <w:r>
              <w:rPr>
                <w:rFonts w:hint="eastAsia"/>
                <w:bCs/>
                <w:sz w:val="20"/>
                <w:szCs w:val="20"/>
              </w:rPr>
              <w:t>鼓励学生探索新方法，构建新模型</w:t>
            </w:r>
          </w:p>
        </w:tc>
        <w:tc>
          <w:tcPr>
            <w:tcW w:w="1680" w:type="dxa"/>
            <w:shd w:val="clear" w:color="auto" w:fill="auto"/>
          </w:tcPr>
          <w:p w14:paraId="1EFB2985">
            <w:pPr>
              <w:snapToGrid w:val="0"/>
              <w:spacing w:line="288" w:lineRule="auto"/>
              <w:jc w:val="center"/>
              <w:rPr>
                <w:bCs/>
                <w:sz w:val="20"/>
                <w:szCs w:val="20"/>
              </w:rPr>
            </w:pPr>
            <w:r>
              <w:rPr>
                <w:rFonts w:hint="eastAsia"/>
                <w:bCs/>
                <w:sz w:val="20"/>
                <w:szCs w:val="20"/>
              </w:rPr>
              <w:t>模型展示介绍</w:t>
            </w:r>
          </w:p>
          <w:p w14:paraId="24748A17">
            <w:pPr>
              <w:snapToGrid w:val="0"/>
              <w:spacing w:line="288" w:lineRule="auto"/>
              <w:jc w:val="center"/>
              <w:rPr>
                <w:bCs/>
                <w:sz w:val="20"/>
                <w:szCs w:val="20"/>
              </w:rPr>
            </w:pPr>
            <w:r>
              <w:rPr>
                <w:rFonts w:hint="eastAsia"/>
                <w:bCs/>
                <w:sz w:val="20"/>
                <w:szCs w:val="20"/>
              </w:rPr>
              <w:t>平时作业</w:t>
            </w:r>
          </w:p>
        </w:tc>
      </w:tr>
      <w:tr w14:paraId="1C49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14:paraId="79657472">
            <w:pPr>
              <w:rPr>
                <w:rFonts w:ascii="仿宋" w:hAnsi="仿宋" w:eastAsia="仿宋" w:cs="宋体"/>
                <w:color w:val="000000"/>
                <w:kern w:val="0"/>
                <w:sz w:val="24"/>
              </w:rPr>
            </w:pPr>
          </w:p>
        </w:tc>
        <w:tc>
          <w:tcPr>
            <w:tcW w:w="1175" w:type="dxa"/>
            <w:vMerge w:val="continue"/>
            <w:shd w:val="clear" w:color="auto" w:fill="auto"/>
          </w:tcPr>
          <w:p w14:paraId="44313E7D">
            <w:pPr>
              <w:rPr>
                <w:rFonts w:ascii="仿宋" w:hAnsi="仿宋" w:eastAsia="仿宋" w:cs="宋体"/>
                <w:color w:val="000000"/>
                <w:kern w:val="0"/>
                <w:sz w:val="24"/>
              </w:rPr>
            </w:pPr>
          </w:p>
        </w:tc>
        <w:tc>
          <w:tcPr>
            <w:tcW w:w="2470" w:type="dxa"/>
            <w:shd w:val="clear" w:color="auto" w:fill="auto"/>
          </w:tcPr>
          <w:p w14:paraId="30370BAA">
            <w:pPr>
              <w:snapToGrid w:val="0"/>
              <w:spacing w:line="288" w:lineRule="auto"/>
              <w:rPr>
                <w:bCs/>
                <w:sz w:val="20"/>
                <w:szCs w:val="20"/>
              </w:rPr>
            </w:pPr>
            <w:r>
              <w:rPr>
                <w:rFonts w:hint="eastAsia"/>
                <w:bCs/>
                <w:sz w:val="20"/>
                <w:szCs w:val="20"/>
              </w:rPr>
              <w:t>2.用模型解决实际问题</w:t>
            </w:r>
          </w:p>
        </w:tc>
        <w:tc>
          <w:tcPr>
            <w:tcW w:w="1879" w:type="dxa"/>
            <w:shd w:val="clear" w:color="auto" w:fill="auto"/>
          </w:tcPr>
          <w:p w14:paraId="4AC752D2">
            <w:pPr>
              <w:snapToGrid w:val="0"/>
              <w:spacing w:line="288" w:lineRule="auto"/>
              <w:rPr>
                <w:bCs/>
                <w:sz w:val="20"/>
                <w:szCs w:val="20"/>
              </w:rPr>
            </w:pPr>
            <w:r>
              <w:rPr>
                <w:rFonts w:hint="eastAsia"/>
                <w:bCs/>
                <w:sz w:val="20"/>
                <w:szCs w:val="20"/>
              </w:rPr>
              <w:t>理论联系实际，用模型解决问题</w:t>
            </w:r>
          </w:p>
        </w:tc>
        <w:tc>
          <w:tcPr>
            <w:tcW w:w="1680" w:type="dxa"/>
            <w:shd w:val="clear" w:color="auto" w:fill="auto"/>
          </w:tcPr>
          <w:p w14:paraId="5BC128DD">
            <w:pPr>
              <w:snapToGrid w:val="0"/>
              <w:spacing w:line="288" w:lineRule="auto"/>
              <w:jc w:val="center"/>
              <w:rPr>
                <w:rFonts w:ascii="黑体" w:hAnsi="宋体" w:eastAsia="黑体"/>
                <w:sz w:val="24"/>
              </w:rPr>
            </w:pPr>
            <w:r>
              <w:rPr>
                <w:rFonts w:hint="eastAsia"/>
                <w:bCs/>
                <w:sz w:val="20"/>
                <w:szCs w:val="20"/>
              </w:rPr>
              <w:t>期末论文</w:t>
            </w:r>
          </w:p>
        </w:tc>
      </w:tr>
    </w:tbl>
    <w:p w14:paraId="4E995132">
      <w:pPr>
        <w:snapToGrid w:val="0"/>
        <w:spacing w:line="288" w:lineRule="auto"/>
        <w:ind w:left="420" w:leftChars="200"/>
        <w:rPr>
          <w:rFonts w:ascii="黑体" w:hAnsi="宋体" w:eastAsia="黑体"/>
          <w:sz w:val="24"/>
        </w:rPr>
      </w:pPr>
    </w:p>
    <w:p w14:paraId="6ACCD2B6">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课程内容</w:t>
      </w:r>
    </w:p>
    <w:p w14:paraId="4EBC915E">
      <w:pPr>
        <w:snapToGrid w:val="0"/>
        <w:spacing w:line="288" w:lineRule="auto"/>
        <w:rPr>
          <w:rFonts w:ascii="宋体" w:hAnsi="宋体"/>
          <w:szCs w:val="21"/>
        </w:rPr>
      </w:pPr>
      <w:r>
        <w:rPr>
          <w:rFonts w:hint="eastAsia" w:ascii="宋体" w:hAnsi="宋体"/>
          <w:szCs w:val="21"/>
        </w:rPr>
        <w:t>第1单元 建立数学模型</w:t>
      </w:r>
    </w:p>
    <w:p w14:paraId="3321A9BA">
      <w:pPr>
        <w:snapToGrid w:val="0"/>
        <w:spacing w:line="288" w:lineRule="auto"/>
        <w:ind w:firstLine="420" w:firstLineChars="200"/>
        <w:rPr>
          <w:rFonts w:ascii="宋体" w:hAnsi="宋体"/>
          <w:szCs w:val="21"/>
        </w:rPr>
      </w:pPr>
      <w:r>
        <w:rPr>
          <w:rFonts w:hint="eastAsia" w:ascii="宋体" w:hAnsi="宋体"/>
          <w:szCs w:val="21"/>
        </w:rPr>
        <w:t xml:space="preserve">   教学知识点</w:t>
      </w:r>
    </w:p>
    <w:p w14:paraId="2D791199">
      <w:pPr>
        <w:snapToGrid w:val="0"/>
        <w:spacing w:line="288" w:lineRule="auto"/>
        <w:ind w:firstLine="420" w:firstLineChars="200"/>
        <w:rPr>
          <w:rFonts w:ascii="宋体" w:hAnsi="宋体"/>
          <w:szCs w:val="21"/>
        </w:rPr>
      </w:pPr>
      <w:r>
        <w:rPr>
          <w:rFonts w:hint="eastAsia" w:ascii="宋体" w:hAnsi="宋体"/>
          <w:szCs w:val="21"/>
        </w:rPr>
        <w:t xml:space="preserve">   数学建模的意义 数学建模的基本方法和步骤 数学模型的特点和分类 数学建模能力的培养</w:t>
      </w:r>
    </w:p>
    <w:p w14:paraId="18A4E9EF">
      <w:pPr>
        <w:snapToGrid w:val="0"/>
        <w:spacing w:line="288" w:lineRule="auto"/>
        <w:ind w:firstLine="420" w:firstLineChars="200"/>
        <w:rPr>
          <w:rFonts w:ascii="宋体" w:hAnsi="宋体"/>
          <w:szCs w:val="21"/>
        </w:rPr>
      </w:pPr>
      <w:r>
        <w:rPr>
          <w:rFonts w:hint="eastAsia" w:ascii="宋体" w:hAnsi="宋体"/>
          <w:szCs w:val="21"/>
        </w:rPr>
        <w:t xml:space="preserve">   教学能力要求</w:t>
      </w:r>
    </w:p>
    <w:p w14:paraId="09AF3704">
      <w:pPr>
        <w:snapToGrid w:val="0"/>
        <w:spacing w:line="288" w:lineRule="auto"/>
        <w:ind w:firstLine="420" w:firstLineChars="200"/>
        <w:rPr>
          <w:rFonts w:ascii="宋体" w:hAnsi="宋体"/>
          <w:szCs w:val="21"/>
        </w:rPr>
      </w:pPr>
      <w:r>
        <w:rPr>
          <w:rFonts w:hint="eastAsia" w:ascii="宋体" w:hAnsi="宋体"/>
          <w:szCs w:val="21"/>
        </w:rPr>
        <w:t xml:space="preserve">  （1）知道数学建模过程、数学建模基本要求。</w:t>
      </w:r>
    </w:p>
    <w:p w14:paraId="21DE48FB">
      <w:pPr>
        <w:snapToGrid w:val="0"/>
        <w:spacing w:line="288" w:lineRule="auto"/>
        <w:ind w:firstLine="420" w:firstLineChars="200"/>
        <w:rPr>
          <w:rFonts w:ascii="宋体" w:hAnsi="宋体"/>
          <w:szCs w:val="21"/>
        </w:rPr>
      </w:pPr>
      <w:r>
        <w:rPr>
          <w:rFonts w:hint="eastAsia" w:ascii="宋体" w:hAnsi="宋体"/>
          <w:szCs w:val="21"/>
        </w:rPr>
        <w:t xml:space="preserve">  （2）理解数学建模的基本方法和步骤。</w:t>
      </w:r>
    </w:p>
    <w:p w14:paraId="67A28552">
      <w:pPr>
        <w:snapToGrid w:val="0"/>
        <w:spacing w:line="288" w:lineRule="auto"/>
        <w:ind w:firstLine="420" w:firstLineChars="200"/>
        <w:rPr>
          <w:rFonts w:ascii="宋体" w:hAnsi="宋体"/>
          <w:szCs w:val="21"/>
        </w:rPr>
      </w:pPr>
      <w:r>
        <w:rPr>
          <w:rFonts w:hint="eastAsia" w:ascii="宋体" w:hAnsi="宋体"/>
          <w:szCs w:val="21"/>
        </w:rPr>
        <w:t xml:space="preserve">  （3）知道数学建模的基本思想和意义。</w:t>
      </w:r>
    </w:p>
    <w:p w14:paraId="60E18735">
      <w:pPr>
        <w:snapToGrid w:val="0"/>
        <w:spacing w:line="288" w:lineRule="auto"/>
        <w:ind w:firstLine="840" w:firstLineChars="400"/>
        <w:rPr>
          <w:rFonts w:ascii="宋体" w:hAnsi="宋体"/>
          <w:szCs w:val="21"/>
        </w:rPr>
      </w:pPr>
      <w:r>
        <w:rPr>
          <w:rFonts w:hint="eastAsia" w:ascii="宋体" w:hAnsi="宋体"/>
          <w:szCs w:val="21"/>
        </w:rPr>
        <w:t>教学难点</w:t>
      </w:r>
    </w:p>
    <w:p w14:paraId="470CF616">
      <w:pPr>
        <w:snapToGrid w:val="0"/>
        <w:spacing w:line="288" w:lineRule="auto"/>
        <w:ind w:firstLine="840" w:firstLineChars="400"/>
        <w:rPr>
          <w:rFonts w:ascii="宋体" w:hAnsi="宋体"/>
          <w:szCs w:val="21"/>
        </w:rPr>
      </w:pPr>
      <w:r>
        <w:rPr>
          <w:rFonts w:hint="eastAsia" w:ascii="宋体" w:hAnsi="宋体"/>
          <w:szCs w:val="21"/>
        </w:rPr>
        <w:t>数学建模的基本方法</w:t>
      </w:r>
    </w:p>
    <w:p w14:paraId="5749912B">
      <w:pPr>
        <w:snapToGrid w:val="0"/>
        <w:spacing w:line="288" w:lineRule="auto"/>
        <w:ind w:firstLine="420" w:firstLineChars="200"/>
        <w:rPr>
          <w:rFonts w:ascii="宋体" w:hAnsi="宋体"/>
          <w:szCs w:val="21"/>
        </w:rPr>
      </w:pPr>
      <w:r>
        <w:rPr>
          <w:rFonts w:hint="eastAsia" w:ascii="宋体" w:hAnsi="宋体"/>
          <w:szCs w:val="21"/>
        </w:rPr>
        <w:t xml:space="preserve"> </w:t>
      </w:r>
    </w:p>
    <w:p w14:paraId="3C52FD08">
      <w:pPr>
        <w:snapToGrid w:val="0"/>
        <w:spacing w:line="288" w:lineRule="auto"/>
        <w:rPr>
          <w:rFonts w:ascii="宋体" w:hAnsi="宋体"/>
          <w:szCs w:val="21"/>
        </w:rPr>
      </w:pPr>
    </w:p>
    <w:p w14:paraId="56C1F0A6">
      <w:pPr>
        <w:snapToGrid w:val="0"/>
        <w:spacing w:line="288" w:lineRule="auto"/>
        <w:rPr>
          <w:rFonts w:ascii="宋体" w:hAnsi="宋体"/>
          <w:szCs w:val="21"/>
        </w:rPr>
      </w:pPr>
      <w:r>
        <w:rPr>
          <w:rFonts w:hint="eastAsia" w:ascii="宋体" w:hAnsi="宋体"/>
          <w:szCs w:val="21"/>
        </w:rPr>
        <w:t xml:space="preserve">第2单元 初等模型 </w:t>
      </w:r>
    </w:p>
    <w:p w14:paraId="6939FADA">
      <w:pPr>
        <w:snapToGrid w:val="0"/>
        <w:spacing w:line="288" w:lineRule="auto"/>
        <w:ind w:firstLine="420" w:firstLineChars="200"/>
        <w:rPr>
          <w:rFonts w:ascii="宋体" w:hAnsi="宋体"/>
          <w:szCs w:val="21"/>
        </w:rPr>
      </w:pPr>
      <w:r>
        <w:rPr>
          <w:rFonts w:hint="eastAsia" w:ascii="宋体" w:hAnsi="宋体"/>
          <w:szCs w:val="21"/>
        </w:rPr>
        <w:t xml:space="preserve">   教学知识点</w:t>
      </w:r>
    </w:p>
    <w:p w14:paraId="70596245">
      <w:pPr>
        <w:snapToGrid w:val="0"/>
        <w:spacing w:line="288" w:lineRule="auto"/>
        <w:ind w:firstLine="420" w:firstLineChars="200"/>
        <w:rPr>
          <w:rFonts w:ascii="宋体" w:hAnsi="宋体"/>
          <w:szCs w:val="21"/>
        </w:rPr>
      </w:pPr>
      <w:r>
        <w:rPr>
          <w:rFonts w:hint="eastAsia" w:ascii="宋体" w:hAnsi="宋体"/>
          <w:szCs w:val="21"/>
        </w:rPr>
        <w:t xml:space="preserve">   几个初等模型（双层玻璃的功效 划艇比赛的成绩 实物交换光盘的数据容量 交通流与道路通行能力）</w:t>
      </w:r>
    </w:p>
    <w:p w14:paraId="301BF28B">
      <w:pPr>
        <w:snapToGrid w:val="0"/>
        <w:spacing w:line="288" w:lineRule="auto"/>
        <w:ind w:firstLine="420" w:firstLineChars="200"/>
        <w:rPr>
          <w:rFonts w:ascii="宋体" w:hAnsi="宋体"/>
          <w:szCs w:val="21"/>
        </w:rPr>
      </w:pPr>
      <w:r>
        <w:rPr>
          <w:rFonts w:hint="eastAsia" w:ascii="宋体" w:hAnsi="宋体"/>
          <w:szCs w:val="21"/>
        </w:rPr>
        <w:t xml:space="preserve">   教学能力要求</w:t>
      </w:r>
    </w:p>
    <w:p w14:paraId="3B34938A">
      <w:pPr>
        <w:snapToGrid w:val="0"/>
        <w:spacing w:line="288" w:lineRule="auto"/>
        <w:ind w:firstLine="420" w:firstLineChars="200"/>
        <w:rPr>
          <w:rFonts w:ascii="宋体" w:hAnsi="宋体"/>
          <w:szCs w:val="21"/>
        </w:rPr>
      </w:pPr>
      <w:r>
        <w:rPr>
          <w:rFonts w:hint="eastAsia" w:ascii="宋体" w:hAnsi="宋体"/>
          <w:szCs w:val="21"/>
        </w:rPr>
        <w:t xml:space="preserve">  （1）分析几个初等模型的做法，理解高等数学等知识在其中的应用。</w:t>
      </w:r>
    </w:p>
    <w:p w14:paraId="6B0CF530">
      <w:pPr>
        <w:snapToGrid w:val="0"/>
        <w:spacing w:line="288" w:lineRule="auto"/>
        <w:ind w:firstLine="420" w:firstLineChars="200"/>
        <w:rPr>
          <w:rFonts w:ascii="宋体" w:hAnsi="宋体"/>
          <w:szCs w:val="21"/>
        </w:rPr>
      </w:pPr>
      <w:r>
        <w:rPr>
          <w:rFonts w:hint="eastAsia" w:ascii="宋体" w:hAnsi="宋体"/>
          <w:szCs w:val="21"/>
        </w:rPr>
        <w:t xml:space="preserve">  （2）知道几个初等模型的基本算法，能运用数学知识建立初等模型。</w:t>
      </w:r>
    </w:p>
    <w:p w14:paraId="6B272D64">
      <w:pPr>
        <w:snapToGrid w:val="0"/>
        <w:spacing w:line="288" w:lineRule="auto"/>
        <w:ind w:firstLine="840" w:firstLineChars="400"/>
        <w:rPr>
          <w:rFonts w:ascii="宋体" w:hAnsi="宋体"/>
          <w:szCs w:val="21"/>
        </w:rPr>
      </w:pPr>
      <w:r>
        <w:rPr>
          <w:rFonts w:hint="eastAsia" w:ascii="宋体" w:hAnsi="宋体"/>
          <w:szCs w:val="21"/>
        </w:rPr>
        <w:t>教学难点</w:t>
      </w:r>
    </w:p>
    <w:p w14:paraId="59055860">
      <w:pPr>
        <w:snapToGrid w:val="0"/>
        <w:spacing w:line="288" w:lineRule="auto"/>
        <w:ind w:firstLine="840" w:firstLineChars="400"/>
        <w:rPr>
          <w:rFonts w:ascii="宋体" w:hAnsi="宋体"/>
          <w:szCs w:val="21"/>
        </w:rPr>
      </w:pPr>
      <w:r>
        <w:rPr>
          <w:rFonts w:hint="eastAsia" w:ascii="宋体" w:hAnsi="宋体"/>
          <w:szCs w:val="21"/>
        </w:rPr>
        <w:t>相关高等数学知识 模型的基本算法</w:t>
      </w:r>
    </w:p>
    <w:p w14:paraId="3D1C4F3D">
      <w:pPr>
        <w:snapToGrid w:val="0"/>
        <w:spacing w:line="288" w:lineRule="auto"/>
        <w:rPr>
          <w:rFonts w:ascii="宋体" w:hAnsi="宋体"/>
          <w:szCs w:val="21"/>
        </w:rPr>
      </w:pPr>
    </w:p>
    <w:p w14:paraId="0218B460">
      <w:pPr>
        <w:snapToGrid w:val="0"/>
        <w:spacing w:line="288" w:lineRule="auto"/>
        <w:rPr>
          <w:rFonts w:ascii="宋体" w:hAnsi="宋体"/>
          <w:szCs w:val="21"/>
        </w:rPr>
      </w:pPr>
      <w:r>
        <w:rPr>
          <w:rFonts w:hint="eastAsia" w:ascii="宋体" w:hAnsi="宋体"/>
          <w:szCs w:val="21"/>
        </w:rPr>
        <w:t>第3单元 简单优化模型</w:t>
      </w:r>
    </w:p>
    <w:p w14:paraId="08CC78DB">
      <w:pPr>
        <w:snapToGrid w:val="0"/>
        <w:spacing w:line="288" w:lineRule="auto"/>
        <w:ind w:firstLine="420" w:firstLineChars="200"/>
        <w:rPr>
          <w:rFonts w:ascii="宋体" w:hAnsi="宋体"/>
          <w:szCs w:val="21"/>
        </w:rPr>
      </w:pPr>
      <w:r>
        <w:rPr>
          <w:rFonts w:hint="eastAsia" w:ascii="宋体" w:hAnsi="宋体"/>
          <w:szCs w:val="21"/>
        </w:rPr>
        <w:t xml:space="preserve">   教学知识点</w:t>
      </w:r>
    </w:p>
    <w:p w14:paraId="274522F5">
      <w:pPr>
        <w:snapToGrid w:val="0"/>
        <w:spacing w:line="288" w:lineRule="auto"/>
        <w:ind w:firstLine="420" w:firstLineChars="200"/>
        <w:rPr>
          <w:rFonts w:ascii="宋体" w:hAnsi="宋体"/>
          <w:szCs w:val="21"/>
        </w:rPr>
      </w:pPr>
      <w:r>
        <w:rPr>
          <w:rFonts w:hint="eastAsia" w:ascii="宋体" w:hAnsi="宋体"/>
          <w:szCs w:val="21"/>
        </w:rPr>
        <w:t xml:space="preserve">   几个简单优化模型（存贮模型 生猪的出售时机 消费者的选择 生产者的决策 冰山运输）</w:t>
      </w:r>
    </w:p>
    <w:p w14:paraId="225AE0B8">
      <w:pPr>
        <w:snapToGrid w:val="0"/>
        <w:spacing w:line="288" w:lineRule="auto"/>
        <w:ind w:firstLine="420" w:firstLineChars="200"/>
        <w:rPr>
          <w:rFonts w:ascii="宋体" w:hAnsi="宋体"/>
          <w:szCs w:val="21"/>
        </w:rPr>
      </w:pPr>
      <w:r>
        <w:rPr>
          <w:rFonts w:hint="eastAsia" w:ascii="宋体" w:hAnsi="宋体"/>
          <w:szCs w:val="21"/>
        </w:rPr>
        <w:t xml:space="preserve">   教学能力要求</w:t>
      </w:r>
    </w:p>
    <w:p w14:paraId="136BC7A1">
      <w:pPr>
        <w:snapToGrid w:val="0"/>
        <w:spacing w:line="288" w:lineRule="auto"/>
        <w:ind w:firstLine="420" w:firstLineChars="200"/>
        <w:rPr>
          <w:rFonts w:ascii="宋体" w:hAnsi="宋体"/>
          <w:szCs w:val="21"/>
        </w:rPr>
      </w:pPr>
      <w:r>
        <w:rPr>
          <w:rFonts w:hint="eastAsia" w:ascii="宋体" w:hAnsi="宋体"/>
          <w:szCs w:val="21"/>
        </w:rPr>
        <w:t xml:space="preserve">  （1）知道简单优化问题建模的基本步骤。</w:t>
      </w:r>
    </w:p>
    <w:p w14:paraId="28D61FFA">
      <w:pPr>
        <w:snapToGrid w:val="0"/>
        <w:spacing w:line="288" w:lineRule="auto"/>
        <w:ind w:firstLine="420" w:firstLineChars="200"/>
        <w:rPr>
          <w:rFonts w:ascii="宋体" w:hAnsi="宋体"/>
          <w:szCs w:val="21"/>
        </w:rPr>
      </w:pPr>
      <w:r>
        <w:rPr>
          <w:rFonts w:hint="eastAsia" w:ascii="宋体" w:hAnsi="宋体"/>
          <w:szCs w:val="21"/>
        </w:rPr>
        <w:t xml:space="preserve">  （2）运用极值、多元函数微积分等知识建立简单优化模型。</w:t>
      </w:r>
    </w:p>
    <w:p w14:paraId="399589A8">
      <w:pPr>
        <w:snapToGrid w:val="0"/>
        <w:spacing w:line="288" w:lineRule="auto"/>
        <w:ind w:firstLine="840" w:firstLineChars="400"/>
        <w:rPr>
          <w:rFonts w:ascii="宋体" w:hAnsi="宋体"/>
          <w:szCs w:val="21"/>
        </w:rPr>
      </w:pPr>
      <w:r>
        <w:rPr>
          <w:rFonts w:hint="eastAsia" w:ascii="宋体" w:hAnsi="宋体"/>
          <w:szCs w:val="21"/>
        </w:rPr>
        <w:t>教学难点</w:t>
      </w:r>
    </w:p>
    <w:p w14:paraId="38CECD55">
      <w:pPr>
        <w:snapToGrid w:val="0"/>
        <w:spacing w:line="288" w:lineRule="auto"/>
        <w:ind w:firstLine="840" w:firstLineChars="400"/>
        <w:rPr>
          <w:rFonts w:ascii="宋体" w:hAnsi="宋体"/>
          <w:szCs w:val="21"/>
        </w:rPr>
      </w:pPr>
      <w:r>
        <w:rPr>
          <w:rFonts w:hint="eastAsia" w:ascii="宋体" w:hAnsi="宋体"/>
          <w:szCs w:val="21"/>
        </w:rPr>
        <w:t>模型优化基本步骤</w:t>
      </w:r>
    </w:p>
    <w:p w14:paraId="70A80932">
      <w:pPr>
        <w:snapToGrid w:val="0"/>
        <w:spacing w:line="288" w:lineRule="auto"/>
        <w:rPr>
          <w:rFonts w:ascii="宋体" w:hAnsi="宋体"/>
          <w:szCs w:val="21"/>
        </w:rPr>
      </w:pPr>
    </w:p>
    <w:p w14:paraId="7975C2C4">
      <w:pPr>
        <w:snapToGrid w:val="0"/>
        <w:spacing w:line="288" w:lineRule="auto"/>
        <w:rPr>
          <w:rFonts w:ascii="宋体" w:hAnsi="宋体"/>
          <w:szCs w:val="21"/>
        </w:rPr>
      </w:pPr>
      <w:r>
        <w:rPr>
          <w:rFonts w:hint="eastAsia" w:ascii="宋体" w:hAnsi="宋体"/>
          <w:szCs w:val="21"/>
        </w:rPr>
        <w:t>第4单元 数学规划模型</w:t>
      </w:r>
    </w:p>
    <w:p w14:paraId="35BDBFEE">
      <w:pPr>
        <w:snapToGrid w:val="0"/>
        <w:spacing w:line="288" w:lineRule="auto"/>
        <w:ind w:firstLine="420" w:firstLineChars="200"/>
        <w:rPr>
          <w:rFonts w:ascii="宋体" w:hAnsi="宋体"/>
          <w:szCs w:val="21"/>
        </w:rPr>
      </w:pPr>
      <w:r>
        <w:rPr>
          <w:rFonts w:hint="eastAsia" w:ascii="宋体" w:hAnsi="宋体"/>
          <w:szCs w:val="21"/>
        </w:rPr>
        <w:t xml:space="preserve">   教学知识点</w:t>
      </w:r>
    </w:p>
    <w:p w14:paraId="4B78E880">
      <w:pPr>
        <w:snapToGrid w:val="0"/>
        <w:spacing w:line="288" w:lineRule="auto"/>
        <w:ind w:firstLine="420" w:firstLineChars="200"/>
        <w:rPr>
          <w:rFonts w:ascii="宋体" w:hAnsi="宋体"/>
          <w:szCs w:val="21"/>
        </w:rPr>
      </w:pPr>
      <w:r>
        <w:rPr>
          <w:rFonts w:hint="eastAsia" w:ascii="宋体" w:hAnsi="宋体"/>
          <w:szCs w:val="21"/>
        </w:rPr>
        <w:t xml:space="preserve">   奶制品的生产与销售 线性规划模型的建立方法</w:t>
      </w:r>
    </w:p>
    <w:p w14:paraId="787C4492">
      <w:pPr>
        <w:snapToGrid w:val="0"/>
        <w:spacing w:line="288" w:lineRule="auto"/>
        <w:ind w:firstLine="420" w:firstLineChars="200"/>
        <w:rPr>
          <w:rFonts w:ascii="宋体" w:hAnsi="宋体"/>
          <w:szCs w:val="21"/>
        </w:rPr>
      </w:pPr>
      <w:r>
        <w:rPr>
          <w:rFonts w:hint="eastAsia" w:ascii="宋体" w:hAnsi="宋体"/>
          <w:szCs w:val="21"/>
        </w:rPr>
        <w:t xml:space="preserve">   教学能力要求</w:t>
      </w:r>
    </w:p>
    <w:p w14:paraId="525F9F95">
      <w:pPr>
        <w:snapToGrid w:val="0"/>
        <w:spacing w:line="288" w:lineRule="auto"/>
        <w:ind w:firstLine="420" w:firstLineChars="200"/>
        <w:rPr>
          <w:rFonts w:ascii="宋体" w:hAnsi="宋体"/>
          <w:szCs w:val="21"/>
        </w:rPr>
      </w:pPr>
      <w:r>
        <w:rPr>
          <w:rFonts w:hint="eastAsia" w:ascii="宋体" w:hAnsi="宋体"/>
          <w:szCs w:val="21"/>
        </w:rPr>
        <w:t xml:space="preserve">  （1）知道线性规划基本概念。</w:t>
      </w:r>
    </w:p>
    <w:p w14:paraId="3979EB6D">
      <w:pPr>
        <w:snapToGrid w:val="0"/>
        <w:spacing w:line="288" w:lineRule="auto"/>
        <w:ind w:firstLine="420" w:firstLineChars="200"/>
        <w:rPr>
          <w:rFonts w:ascii="宋体" w:hAnsi="宋体"/>
          <w:szCs w:val="21"/>
        </w:rPr>
      </w:pPr>
      <w:r>
        <w:rPr>
          <w:rFonts w:hint="eastAsia" w:ascii="宋体" w:hAnsi="宋体"/>
          <w:szCs w:val="21"/>
        </w:rPr>
        <w:t xml:space="preserve">  （2）理解线性规划建模的过程和基本方法。</w:t>
      </w:r>
    </w:p>
    <w:p w14:paraId="15497557">
      <w:pPr>
        <w:snapToGrid w:val="0"/>
        <w:spacing w:line="288" w:lineRule="auto"/>
        <w:ind w:firstLine="840" w:firstLineChars="400"/>
        <w:rPr>
          <w:rFonts w:ascii="宋体" w:hAnsi="宋体"/>
          <w:szCs w:val="21"/>
        </w:rPr>
      </w:pPr>
      <w:r>
        <w:rPr>
          <w:rFonts w:hint="eastAsia" w:ascii="宋体" w:hAnsi="宋体"/>
          <w:szCs w:val="21"/>
        </w:rPr>
        <w:t>教学难点</w:t>
      </w:r>
    </w:p>
    <w:p w14:paraId="3E273BAF">
      <w:pPr>
        <w:snapToGrid w:val="0"/>
        <w:spacing w:line="288" w:lineRule="auto"/>
        <w:ind w:firstLine="840" w:firstLineChars="400"/>
        <w:rPr>
          <w:rFonts w:ascii="宋体" w:hAnsi="宋体"/>
          <w:szCs w:val="21"/>
        </w:rPr>
      </w:pPr>
      <w:r>
        <w:rPr>
          <w:rFonts w:hint="eastAsia" w:ascii="宋体" w:hAnsi="宋体"/>
          <w:szCs w:val="21"/>
        </w:rPr>
        <w:t>线性规划模型</w:t>
      </w:r>
    </w:p>
    <w:p w14:paraId="02298171">
      <w:pPr>
        <w:snapToGrid w:val="0"/>
        <w:spacing w:line="288" w:lineRule="auto"/>
        <w:rPr>
          <w:rFonts w:ascii="宋体" w:hAnsi="宋体"/>
          <w:szCs w:val="21"/>
        </w:rPr>
      </w:pPr>
    </w:p>
    <w:p w14:paraId="0D578FDD">
      <w:pPr>
        <w:snapToGrid w:val="0"/>
        <w:spacing w:line="288" w:lineRule="auto"/>
        <w:rPr>
          <w:rFonts w:ascii="宋体" w:hAnsi="宋体"/>
          <w:szCs w:val="21"/>
        </w:rPr>
      </w:pPr>
      <w:r>
        <w:rPr>
          <w:rFonts w:hint="eastAsia" w:ascii="宋体" w:hAnsi="宋体"/>
          <w:szCs w:val="21"/>
        </w:rPr>
        <w:t xml:space="preserve">第5单元 微分方程模型 </w:t>
      </w:r>
    </w:p>
    <w:p w14:paraId="7336D385">
      <w:pPr>
        <w:snapToGrid w:val="0"/>
        <w:spacing w:line="288" w:lineRule="auto"/>
        <w:ind w:firstLine="420" w:firstLineChars="200"/>
        <w:rPr>
          <w:rFonts w:ascii="宋体" w:hAnsi="宋体"/>
          <w:szCs w:val="21"/>
        </w:rPr>
      </w:pPr>
      <w:r>
        <w:rPr>
          <w:rFonts w:hint="eastAsia" w:ascii="宋体" w:hAnsi="宋体"/>
          <w:szCs w:val="21"/>
        </w:rPr>
        <w:t xml:space="preserve">   教学知识点</w:t>
      </w:r>
    </w:p>
    <w:p w14:paraId="195D9C08">
      <w:pPr>
        <w:tabs>
          <w:tab w:val="left" w:pos="284"/>
        </w:tabs>
        <w:snapToGrid w:val="0"/>
        <w:spacing w:line="288" w:lineRule="auto"/>
        <w:ind w:firstLine="123" w:firstLineChars="59"/>
        <w:rPr>
          <w:rFonts w:ascii="宋体" w:hAnsi="宋体"/>
          <w:szCs w:val="21"/>
        </w:rPr>
      </w:pPr>
      <w:r>
        <w:rPr>
          <w:rFonts w:hint="eastAsia" w:ascii="宋体" w:hAnsi="宋体"/>
          <w:szCs w:val="21"/>
        </w:rPr>
        <w:t xml:space="preserve">   经济增长模型 传染病模型 人口的预测和控制 微分方程模型的基本背景 基本概念和基本方法</w:t>
      </w:r>
    </w:p>
    <w:p w14:paraId="373799E0">
      <w:pPr>
        <w:snapToGrid w:val="0"/>
        <w:spacing w:line="288" w:lineRule="auto"/>
        <w:ind w:firstLine="420" w:firstLineChars="200"/>
        <w:rPr>
          <w:rFonts w:ascii="宋体" w:hAnsi="宋体"/>
          <w:szCs w:val="21"/>
        </w:rPr>
      </w:pPr>
      <w:r>
        <w:rPr>
          <w:rFonts w:hint="eastAsia" w:ascii="宋体" w:hAnsi="宋体"/>
          <w:szCs w:val="21"/>
        </w:rPr>
        <w:t xml:space="preserve">   教学能力要求</w:t>
      </w:r>
    </w:p>
    <w:p w14:paraId="6B16FE57">
      <w:pPr>
        <w:snapToGrid w:val="0"/>
        <w:spacing w:line="288" w:lineRule="auto"/>
        <w:ind w:firstLine="420" w:firstLineChars="200"/>
        <w:rPr>
          <w:rFonts w:ascii="宋体" w:hAnsi="宋体"/>
          <w:szCs w:val="21"/>
        </w:rPr>
      </w:pPr>
      <w:r>
        <w:rPr>
          <w:rFonts w:hint="eastAsia" w:ascii="宋体" w:hAnsi="宋体"/>
          <w:szCs w:val="21"/>
        </w:rPr>
        <w:t xml:space="preserve">  （1）知道微分方程的基本背景，理解微分方程模型的基本概念。</w:t>
      </w:r>
    </w:p>
    <w:p w14:paraId="6C2832E2">
      <w:pPr>
        <w:snapToGrid w:val="0"/>
        <w:spacing w:line="288" w:lineRule="auto"/>
        <w:ind w:firstLine="420" w:firstLineChars="200"/>
        <w:rPr>
          <w:rFonts w:ascii="宋体" w:hAnsi="宋体"/>
          <w:szCs w:val="21"/>
        </w:rPr>
      </w:pPr>
      <w:r>
        <w:rPr>
          <w:rFonts w:hint="eastAsia" w:ascii="宋体" w:hAnsi="宋体"/>
          <w:szCs w:val="21"/>
        </w:rPr>
        <w:t xml:space="preserve">  （2）运用微分方程知识建立模型。</w:t>
      </w:r>
    </w:p>
    <w:p w14:paraId="5D34FBDD">
      <w:pPr>
        <w:snapToGrid w:val="0"/>
        <w:spacing w:line="288" w:lineRule="auto"/>
        <w:ind w:firstLine="840" w:firstLineChars="400"/>
        <w:rPr>
          <w:rFonts w:ascii="宋体" w:hAnsi="宋体"/>
          <w:szCs w:val="21"/>
        </w:rPr>
      </w:pPr>
      <w:r>
        <w:rPr>
          <w:rFonts w:hint="eastAsia" w:ascii="宋体" w:hAnsi="宋体"/>
          <w:szCs w:val="21"/>
        </w:rPr>
        <w:t>教学难点</w:t>
      </w:r>
    </w:p>
    <w:p w14:paraId="54AF3F8D">
      <w:pPr>
        <w:snapToGrid w:val="0"/>
        <w:spacing w:line="288" w:lineRule="auto"/>
        <w:ind w:firstLine="420" w:firstLineChars="200"/>
        <w:rPr>
          <w:rFonts w:ascii="宋体" w:hAnsi="宋体"/>
          <w:szCs w:val="21"/>
        </w:rPr>
      </w:pPr>
      <w:r>
        <w:rPr>
          <w:rFonts w:hint="eastAsia" w:ascii="宋体" w:hAnsi="宋体"/>
          <w:szCs w:val="21"/>
        </w:rPr>
        <w:t>微分方程基本知识 经济增长模型 传染病模型</w:t>
      </w:r>
    </w:p>
    <w:p w14:paraId="6225DE23">
      <w:pPr>
        <w:snapToGrid w:val="0"/>
        <w:spacing w:line="288" w:lineRule="auto"/>
        <w:ind w:firstLine="420" w:firstLineChars="200"/>
        <w:rPr>
          <w:rFonts w:ascii="宋体" w:hAnsi="宋体"/>
          <w:szCs w:val="21"/>
        </w:rPr>
      </w:pPr>
    </w:p>
    <w:p w14:paraId="61C7BD5A">
      <w:pPr>
        <w:snapToGrid w:val="0"/>
        <w:spacing w:line="288" w:lineRule="auto"/>
        <w:rPr>
          <w:rFonts w:ascii="宋体" w:hAnsi="宋体"/>
          <w:szCs w:val="21"/>
        </w:rPr>
      </w:pPr>
      <w:r>
        <w:rPr>
          <w:rFonts w:hint="eastAsia" w:ascii="宋体" w:hAnsi="宋体"/>
          <w:szCs w:val="21"/>
        </w:rPr>
        <w:t xml:space="preserve">第6单元 代数方程与差分方程模型 </w:t>
      </w:r>
    </w:p>
    <w:p w14:paraId="46B82154">
      <w:pPr>
        <w:snapToGrid w:val="0"/>
        <w:spacing w:line="288" w:lineRule="auto"/>
        <w:ind w:firstLine="420" w:firstLineChars="200"/>
        <w:rPr>
          <w:rFonts w:ascii="宋体" w:hAnsi="宋体"/>
          <w:szCs w:val="21"/>
        </w:rPr>
      </w:pPr>
      <w:r>
        <w:rPr>
          <w:rFonts w:hint="eastAsia" w:ascii="宋体" w:hAnsi="宋体"/>
          <w:szCs w:val="21"/>
        </w:rPr>
        <w:t xml:space="preserve">   教学知识点</w:t>
      </w:r>
    </w:p>
    <w:p w14:paraId="20E3621E">
      <w:pPr>
        <w:tabs>
          <w:tab w:val="left" w:pos="284"/>
        </w:tabs>
        <w:snapToGrid w:val="0"/>
        <w:spacing w:line="288" w:lineRule="auto"/>
        <w:ind w:firstLine="123" w:firstLineChars="59"/>
        <w:rPr>
          <w:rFonts w:ascii="宋体" w:hAnsi="宋体"/>
          <w:szCs w:val="21"/>
        </w:rPr>
      </w:pPr>
      <w:r>
        <w:rPr>
          <w:rFonts w:hint="eastAsia" w:ascii="宋体" w:hAnsi="宋体"/>
          <w:szCs w:val="21"/>
        </w:rPr>
        <w:t xml:space="preserve">   投入产出模型 减肥计划-节食与运动 CT技术的图像重建 市场经济中的蛛网模型</w:t>
      </w:r>
    </w:p>
    <w:p w14:paraId="4E37E121">
      <w:pPr>
        <w:snapToGrid w:val="0"/>
        <w:spacing w:line="288" w:lineRule="auto"/>
        <w:ind w:firstLine="420" w:firstLineChars="200"/>
        <w:rPr>
          <w:rFonts w:ascii="宋体" w:hAnsi="宋体"/>
          <w:szCs w:val="21"/>
        </w:rPr>
      </w:pPr>
      <w:r>
        <w:rPr>
          <w:rFonts w:hint="eastAsia" w:ascii="宋体" w:hAnsi="宋体"/>
          <w:szCs w:val="21"/>
        </w:rPr>
        <w:t xml:space="preserve">   教学能力要求</w:t>
      </w:r>
    </w:p>
    <w:p w14:paraId="50C48CB9">
      <w:pPr>
        <w:snapToGrid w:val="0"/>
        <w:spacing w:line="288" w:lineRule="auto"/>
        <w:ind w:firstLine="420" w:firstLineChars="200"/>
        <w:rPr>
          <w:rFonts w:ascii="宋体" w:hAnsi="宋体"/>
          <w:szCs w:val="21"/>
        </w:rPr>
      </w:pPr>
      <w:r>
        <w:rPr>
          <w:rFonts w:hint="eastAsia" w:ascii="宋体" w:hAnsi="宋体"/>
          <w:szCs w:val="21"/>
        </w:rPr>
        <w:t xml:space="preserve">  （1）知道代数方程与差分方程模型的基本概念。</w:t>
      </w:r>
    </w:p>
    <w:p w14:paraId="1F5777F7">
      <w:pPr>
        <w:snapToGrid w:val="0"/>
        <w:spacing w:line="288" w:lineRule="auto"/>
        <w:ind w:firstLine="420" w:firstLineChars="200"/>
        <w:rPr>
          <w:rFonts w:ascii="宋体" w:hAnsi="宋体"/>
          <w:szCs w:val="21"/>
        </w:rPr>
      </w:pPr>
      <w:r>
        <w:rPr>
          <w:rFonts w:hint="eastAsia" w:ascii="宋体" w:hAnsi="宋体"/>
          <w:szCs w:val="21"/>
        </w:rPr>
        <w:t xml:space="preserve">  （2）运用代数方程与差分方程建立数学模型。</w:t>
      </w:r>
    </w:p>
    <w:p w14:paraId="79A201A3">
      <w:pPr>
        <w:snapToGrid w:val="0"/>
        <w:spacing w:line="288" w:lineRule="auto"/>
        <w:ind w:firstLine="840" w:firstLineChars="400"/>
        <w:rPr>
          <w:rFonts w:ascii="宋体" w:hAnsi="宋体"/>
          <w:szCs w:val="21"/>
        </w:rPr>
      </w:pPr>
      <w:r>
        <w:rPr>
          <w:rFonts w:hint="eastAsia" w:ascii="宋体" w:hAnsi="宋体"/>
          <w:szCs w:val="21"/>
        </w:rPr>
        <w:t>教学难点</w:t>
      </w:r>
    </w:p>
    <w:p w14:paraId="5725D249">
      <w:pPr>
        <w:snapToGrid w:val="0"/>
        <w:spacing w:line="288" w:lineRule="auto"/>
        <w:ind w:firstLine="840" w:firstLineChars="400"/>
        <w:rPr>
          <w:rFonts w:ascii="宋体" w:hAnsi="宋体"/>
          <w:szCs w:val="21"/>
        </w:rPr>
      </w:pPr>
      <w:r>
        <w:rPr>
          <w:rFonts w:hint="eastAsia" w:ascii="宋体" w:hAnsi="宋体"/>
          <w:szCs w:val="21"/>
        </w:rPr>
        <w:t>代数方程与差分方程模型</w:t>
      </w:r>
    </w:p>
    <w:p w14:paraId="61010EF6">
      <w:pPr>
        <w:snapToGrid w:val="0"/>
        <w:spacing w:line="288" w:lineRule="auto"/>
        <w:rPr>
          <w:rFonts w:ascii="宋体" w:hAnsi="宋体"/>
          <w:szCs w:val="21"/>
        </w:rPr>
      </w:pPr>
    </w:p>
    <w:p w14:paraId="00A7E869">
      <w:pPr>
        <w:snapToGrid w:val="0"/>
        <w:spacing w:line="288" w:lineRule="auto"/>
        <w:rPr>
          <w:rFonts w:ascii="宋体" w:hAnsi="宋体"/>
          <w:szCs w:val="21"/>
        </w:rPr>
      </w:pPr>
      <w:r>
        <w:rPr>
          <w:rFonts w:hint="eastAsia" w:ascii="宋体" w:hAnsi="宋体"/>
          <w:szCs w:val="21"/>
        </w:rPr>
        <w:t xml:space="preserve">第7单元 离散模型 </w:t>
      </w:r>
    </w:p>
    <w:p w14:paraId="448BACFB">
      <w:pPr>
        <w:snapToGrid w:val="0"/>
        <w:spacing w:line="288" w:lineRule="auto"/>
        <w:ind w:firstLine="420" w:firstLineChars="200"/>
        <w:rPr>
          <w:rFonts w:ascii="宋体" w:hAnsi="宋体"/>
          <w:szCs w:val="21"/>
        </w:rPr>
      </w:pPr>
      <w:r>
        <w:rPr>
          <w:rFonts w:hint="eastAsia" w:ascii="宋体" w:hAnsi="宋体"/>
          <w:szCs w:val="21"/>
        </w:rPr>
        <w:t xml:space="preserve">   教学知识点</w:t>
      </w:r>
    </w:p>
    <w:p w14:paraId="3D77F2CD">
      <w:pPr>
        <w:snapToGrid w:val="0"/>
        <w:spacing w:line="288" w:lineRule="auto"/>
        <w:ind w:firstLine="420" w:firstLineChars="200"/>
        <w:rPr>
          <w:rFonts w:ascii="宋体" w:hAnsi="宋体"/>
          <w:szCs w:val="21"/>
        </w:rPr>
      </w:pPr>
      <w:r>
        <w:rPr>
          <w:rFonts w:hint="eastAsia" w:ascii="宋体" w:hAnsi="宋体"/>
          <w:szCs w:val="21"/>
        </w:rPr>
        <w:t xml:space="preserve">   层析分析法 科技论文写作总结</w:t>
      </w:r>
    </w:p>
    <w:p w14:paraId="3DAA6AB4">
      <w:pPr>
        <w:snapToGrid w:val="0"/>
        <w:spacing w:line="288" w:lineRule="auto"/>
        <w:ind w:firstLine="420" w:firstLineChars="200"/>
        <w:rPr>
          <w:rFonts w:ascii="宋体" w:hAnsi="宋体"/>
          <w:szCs w:val="21"/>
        </w:rPr>
      </w:pPr>
      <w:r>
        <w:rPr>
          <w:rFonts w:hint="eastAsia" w:ascii="宋体" w:hAnsi="宋体"/>
          <w:szCs w:val="21"/>
        </w:rPr>
        <w:t xml:space="preserve">   教学能力要求</w:t>
      </w:r>
    </w:p>
    <w:p w14:paraId="4DCC5920">
      <w:pPr>
        <w:snapToGrid w:val="0"/>
        <w:spacing w:line="288" w:lineRule="auto"/>
        <w:ind w:firstLine="420" w:firstLineChars="200"/>
        <w:rPr>
          <w:rFonts w:ascii="宋体" w:hAnsi="宋体"/>
          <w:szCs w:val="21"/>
        </w:rPr>
      </w:pPr>
      <w:r>
        <w:rPr>
          <w:rFonts w:hint="eastAsia" w:ascii="宋体" w:hAnsi="宋体"/>
          <w:szCs w:val="21"/>
        </w:rPr>
        <w:t xml:space="preserve">  （1）理解层次分析法的建模步骤。</w:t>
      </w:r>
    </w:p>
    <w:p w14:paraId="33840362">
      <w:pPr>
        <w:snapToGrid w:val="0"/>
        <w:spacing w:line="288" w:lineRule="auto"/>
        <w:ind w:firstLine="420" w:firstLineChars="200"/>
        <w:rPr>
          <w:rFonts w:ascii="宋体" w:hAnsi="宋体"/>
          <w:szCs w:val="21"/>
        </w:rPr>
      </w:pPr>
      <w:r>
        <w:rPr>
          <w:rFonts w:hint="eastAsia" w:ascii="宋体" w:hAnsi="宋体"/>
          <w:szCs w:val="21"/>
        </w:rPr>
        <w:t xml:space="preserve">  （2）综合各种建模知识进行科技论文写作，知道写作方法和技巧。</w:t>
      </w:r>
    </w:p>
    <w:p w14:paraId="6A828983">
      <w:pPr>
        <w:snapToGrid w:val="0"/>
        <w:spacing w:line="288" w:lineRule="auto"/>
        <w:ind w:firstLine="840" w:firstLineChars="400"/>
        <w:rPr>
          <w:rFonts w:ascii="宋体" w:hAnsi="宋体"/>
          <w:szCs w:val="21"/>
        </w:rPr>
      </w:pPr>
      <w:r>
        <w:rPr>
          <w:rFonts w:hint="eastAsia" w:ascii="宋体" w:hAnsi="宋体"/>
          <w:szCs w:val="21"/>
        </w:rPr>
        <w:t>教学难点</w:t>
      </w:r>
    </w:p>
    <w:p w14:paraId="2CE2484C">
      <w:pPr>
        <w:snapToGrid w:val="0"/>
        <w:spacing w:line="288" w:lineRule="auto"/>
        <w:ind w:firstLine="840" w:firstLineChars="400"/>
        <w:rPr>
          <w:rFonts w:ascii="宋体" w:hAnsi="宋体"/>
          <w:szCs w:val="21"/>
        </w:rPr>
      </w:pPr>
      <w:r>
        <w:rPr>
          <w:rFonts w:hint="eastAsia" w:ascii="宋体" w:hAnsi="宋体"/>
          <w:szCs w:val="21"/>
        </w:rPr>
        <w:t>层析分析法</w:t>
      </w:r>
    </w:p>
    <w:p w14:paraId="7FFC600D">
      <w:pPr>
        <w:snapToGrid w:val="0"/>
        <w:spacing w:line="288" w:lineRule="auto"/>
        <w:ind w:firstLine="800" w:firstLineChars="400"/>
        <w:rPr>
          <w:rFonts w:ascii="宋体" w:hAnsi="宋体"/>
          <w:sz w:val="20"/>
          <w:szCs w:val="20"/>
        </w:rPr>
      </w:pPr>
    </w:p>
    <w:tbl>
      <w:tblPr>
        <w:tblStyle w:val="5"/>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5964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0FFDC7C4">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总评构成</w:t>
            </w:r>
          </w:p>
        </w:tc>
        <w:tc>
          <w:tcPr>
            <w:tcW w:w="5103" w:type="dxa"/>
            <w:shd w:val="clear" w:color="auto" w:fill="auto"/>
          </w:tcPr>
          <w:p w14:paraId="15E55331">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14:paraId="19B53FFE">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14:paraId="2F63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0586239D">
            <w:pPr>
              <w:snapToGrid w:val="0"/>
              <w:spacing w:before="156" w:beforeLines="50" w:after="156" w:afterLines="50"/>
              <w:jc w:val="center"/>
              <w:rPr>
                <w:rFonts w:ascii="宋体" w:hAnsi="宋体"/>
                <w:bCs/>
                <w:color w:val="000000"/>
                <w:szCs w:val="20"/>
              </w:rPr>
            </w:pPr>
            <w:r>
              <w:rPr>
                <w:rFonts w:ascii="宋体" w:hAnsi="宋体"/>
                <w:bCs/>
                <w:color w:val="000000"/>
                <w:szCs w:val="20"/>
              </w:rPr>
              <w:t>X</w:t>
            </w:r>
            <w:r>
              <w:rPr>
                <w:rFonts w:hint="eastAsia" w:ascii="宋体" w:hAnsi="宋体"/>
                <w:bCs/>
                <w:color w:val="000000"/>
                <w:szCs w:val="20"/>
              </w:rPr>
              <w:t>1</w:t>
            </w:r>
          </w:p>
        </w:tc>
        <w:tc>
          <w:tcPr>
            <w:tcW w:w="5103" w:type="dxa"/>
            <w:shd w:val="clear" w:color="auto" w:fill="auto"/>
          </w:tcPr>
          <w:p w14:paraId="06110419">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期末论文</w:t>
            </w:r>
          </w:p>
        </w:tc>
        <w:tc>
          <w:tcPr>
            <w:tcW w:w="1843" w:type="dxa"/>
            <w:shd w:val="clear" w:color="auto" w:fill="auto"/>
          </w:tcPr>
          <w:p w14:paraId="55D6E030">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40%</w:t>
            </w:r>
          </w:p>
        </w:tc>
      </w:tr>
      <w:tr w14:paraId="20DE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1616FD73">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14:paraId="0B05D329">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专业模型展示</w:t>
            </w:r>
          </w:p>
        </w:tc>
        <w:tc>
          <w:tcPr>
            <w:tcW w:w="1843" w:type="dxa"/>
            <w:shd w:val="clear" w:color="auto" w:fill="auto"/>
          </w:tcPr>
          <w:p w14:paraId="79829013">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14:paraId="76A8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078AEF29">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14:paraId="7805AD8A">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出勤及课堂表现</w:t>
            </w:r>
          </w:p>
        </w:tc>
        <w:tc>
          <w:tcPr>
            <w:tcW w:w="1843" w:type="dxa"/>
            <w:shd w:val="clear" w:color="auto" w:fill="auto"/>
          </w:tcPr>
          <w:p w14:paraId="0CDF8970">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14:paraId="1080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2F20C235">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X4</w:t>
            </w:r>
          </w:p>
        </w:tc>
        <w:tc>
          <w:tcPr>
            <w:tcW w:w="5103" w:type="dxa"/>
            <w:shd w:val="clear" w:color="auto" w:fill="auto"/>
          </w:tcPr>
          <w:p w14:paraId="16C74000">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平时作业</w:t>
            </w:r>
          </w:p>
        </w:tc>
        <w:tc>
          <w:tcPr>
            <w:tcW w:w="1843" w:type="dxa"/>
            <w:shd w:val="clear" w:color="auto" w:fill="auto"/>
          </w:tcPr>
          <w:p w14:paraId="74EF042F">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bl>
    <w:p w14:paraId="288F075C">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 xml:space="preserve">   六、评价方式与成绩</w:t>
      </w:r>
    </w:p>
    <w:p w14:paraId="121A0A13">
      <w:pPr>
        <w:snapToGrid w:val="0"/>
        <w:spacing w:before="156" w:beforeLines="50" w:line="288" w:lineRule="auto"/>
        <w:ind w:firstLine="400" w:firstLineChars="200"/>
        <w:rPr>
          <w:rFonts w:ascii="宋体" w:hAnsi="宋体"/>
          <w:sz w:val="20"/>
          <w:szCs w:val="20"/>
        </w:rPr>
      </w:pPr>
    </w:p>
    <w:p w14:paraId="0C01307B">
      <w:pPr>
        <w:snapToGrid w:val="0"/>
        <w:spacing w:before="156" w:beforeLines="50" w:line="288" w:lineRule="auto"/>
        <w:ind w:firstLine="420" w:firstLineChars="200"/>
      </w:pPr>
    </w:p>
    <w:p w14:paraId="24AD8D4A">
      <w:pPr>
        <w:snapToGrid w:val="0"/>
        <w:spacing w:before="156" w:beforeLines="50" w:line="288" w:lineRule="auto"/>
        <w:ind w:firstLine="420" w:firstLineChars="200"/>
        <w:rPr>
          <w:rFonts w:hint="eastAsia" w:eastAsia="宋体"/>
          <w:lang w:eastAsia="zh-CN"/>
        </w:rPr>
      </w:pPr>
      <w:r>
        <w:rPr>
          <w:rFonts w:hint="eastAsia"/>
        </w:rPr>
        <w:t xml:space="preserve">撰写：袁江     </w:t>
      </w:r>
      <w:r>
        <w:t xml:space="preserve">  </w:t>
      </w:r>
      <w:r>
        <w:rPr>
          <w:rFonts w:hint="eastAsia"/>
        </w:rPr>
        <w:t xml:space="preserve">    系主任审核：陈苏婷    </w:t>
      </w:r>
      <w:r>
        <w:t xml:space="preserve">    </w:t>
      </w:r>
      <w:r>
        <w:rPr>
          <w:rFonts w:hint="eastAsia"/>
        </w:rPr>
        <w:t xml:space="preserve"> </w:t>
      </w:r>
      <w:r>
        <w:rPr>
          <w:rFonts w:hint="eastAsia" w:ascii="宋体" w:hAnsi="宋体"/>
          <w:szCs w:val="21"/>
        </w:rPr>
        <w:t>审核时间：</w:t>
      </w:r>
      <w:r>
        <w:rPr>
          <w:rFonts w:hint="eastAsia" w:ascii="宋体" w:hAnsi="宋体"/>
          <w:szCs w:val="21"/>
          <w:lang w:val="en-US" w:eastAsia="zh-CN"/>
        </w:rPr>
        <w:t xml:space="preserve"> </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YTFlMTdhYWEyNTdmNmIwNWEzMTgwOGZlOWMxYzgifQ=="/>
  </w:docVars>
  <w:rsids>
    <w:rsidRoot w:val="00B7651F"/>
    <w:rsid w:val="0007362F"/>
    <w:rsid w:val="00150128"/>
    <w:rsid w:val="001B736E"/>
    <w:rsid w:val="00252C28"/>
    <w:rsid w:val="00256B39"/>
    <w:rsid w:val="0026033C"/>
    <w:rsid w:val="002D4527"/>
    <w:rsid w:val="002E3721"/>
    <w:rsid w:val="002F1A16"/>
    <w:rsid w:val="0031203F"/>
    <w:rsid w:val="00313BBA"/>
    <w:rsid w:val="003221CF"/>
    <w:rsid w:val="0032602E"/>
    <w:rsid w:val="00326EBF"/>
    <w:rsid w:val="003367AE"/>
    <w:rsid w:val="003F43B3"/>
    <w:rsid w:val="00406CA7"/>
    <w:rsid w:val="00407A11"/>
    <w:rsid w:val="004100B0"/>
    <w:rsid w:val="00414017"/>
    <w:rsid w:val="004414A4"/>
    <w:rsid w:val="004E2F35"/>
    <w:rsid w:val="004E793F"/>
    <w:rsid w:val="00511B4A"/>
    <w:rsid w:val="005467DC"/>
    <w:rsid w:val="005511F2"/>
    <w:rsid w:val="00553D03"/>
    <w:rsid w:val="00581413"/>
    <w:rsid w:val="005B152A"/>
    <w:rsid w:val="005B2B6D"/>
    <w:rsid w:val="005B4B4E"/>
    <w:rsid w:val="005D0350"/>
    <w:rsid w:val="005F6758"/>
    <w:rsid w:val="00604D39"/>
    <w:rsid w:val="006130F9"/>
    <w:rsid w:val="00624FE1"/>
    <w:rsid w:val="006455A1"/>
    <w:rsid w:val="006579B3"/>
    <w:rsid w:val="0067679E"/>
    <w:rsid w:val="00703E3D"/>
    <w:rsid w:val="007208D6"/>
    <w:rsid w:val="00783671"/>
    <w:rsid w:val="007B1926"/>
    <w:rsid w:val="007D1BD1"/>
    <w:rsid w:val="00807BFE"/>
    <w:rsid w:val="00873F3E"/>
    <w:rsid w:val="008B397C"/>
    <w:rsid w:val="008B47F4"/>
    <w:rsid w:val="008B50EE"/>
    <w:rsid w:val="00900019"/>
    <w:rsid w:val="009363C9"/>
    <w:rsid w:val="0099063E"/>
    <w:rsid w:val="0099583F"/>
    <w:rsid w:val="00A73C09"/>
    <w:rsid w:val="00AA436D"/>
    <w:rsid w:val="00AA56B7"/>
    <w:rsid w:val="00AB0B16"/>
    <w:rsid w:val="00AB48D9"/>
    <w:rsid w:val="00B24E87"/>
    <w:rsid w:val="00B25A04"/>
    <w:rsid w:val="00B511A5"/>
    <w:rsid w:val="00B63BC1"/>
    <w:rsid w:val="00B7651F"/>
    <w:rsid w:val="00BC4B20"/>
    <w:rsid w:val="00BC7E75"/>
    <w:rsid w:val="00BD4B3C"/>
    <w:rsid w:val="00C2418B"/>
    <w:rsid w:val="00C40C87"/>
    <w:rsid w:val="00C56E09"/>
    <w:rsid w:val="00C60724"/>
    <w:rsid w:val="00C721FD"/>
    <w:rsid w:val="00D01AAA"/>
    <w:rsid w:val="00D850EC"/>
    <w:rsid w:val="00DB29EF"/>
    <w:rsid w:val="00DC01DA"/>
    <w:rsid w:val="00E16D30"/>
    <w:rsid w:val="00E16D44"/>
    <w:rsid w:val="00E33169"/>
    <w:rsid w:val="00E57C35"/>
    <w:rsid w:val="00E70904"/>
    <w:rsid w:val="00E716E5"/>
    <w:rsid w:val="00EF44B1"/>
    <w:rsid w:val="00F04741"/>
    <w:rsid w:val="00F35AA0"/>
    <w:rsid w:val="00F45ABB"/>
    <w:rsid w:val="00F47CC9"/>
    <w:rsid w:val="00F62F92"/>
    <w:rsid w:val="00FE667C"/>
    <w:rsid w:val="00FF6534"/>
    <w:rsid w:val="01304DAC"/>
    <w:rsid w:val="01ED4DD6"/>
    <w:rsid w:val="024B0C39"/>
    <w:rsid w:val="02F73A70"/>
    <w:rsid w:val="034A4364"/>
    <w:rsid w:val="03D40308"/>
    <w:rsid w:val="040B6078"/>
    <w:rsid w:val="04A138EF"/>
    <w:rsid w:val="066F347D"/>
    <w:rsid w:val="06BE19F1"/>
    <w:rsid w:val="06CD4C74"/>
    <w:rsid w:val="07572590"/>
    <w:rsid w:val="07C629AE"/>
    <w:rsid w:val="082C3650"/>
    <w:rsid w:val="089608E6"/>
    <w:rsid w:val="09280F80"/>
    <w:rsid w:val="09393E51"/>
    <w:rsid w:val="0A0A25DB"/>
    <w:rsid w:val="0A6E25D6"/>
    <w:rsid w:val="0AE51789"/>
    <w:rsid w:val="0DC41E8E"/>
    <w:rsid w:val="0E95534F"/>
    <w:rsid w:val="0ECD064E"/>
    <w:rsid w:val="0F6D12EA"/>
    <w:rsid w:val="102C1233"/>
    <w:rsid w:val="10C32CE5"/>
    <w:rsid w:val="12B379B6"/>
    <w:rsid w:val="14B676C7"/>
    <w:rsid w:val="16872033"/>
    <w:rsid w:val="170C74B4"/>
    <w:rsid w:val="179E1664"/>
    <w:rsid w:val="183B1ECB"/>
    <w:rsid w:val="18B727CF"/>
    <w:rsid w:val="191D6871"/>
    <w:rsid w:val="1A260396"/>
    <w:rsid w:val="1B044364"/>
    <w:rsid w:val="1C4402D2"/>
    <w:rsid w:val="1C717D82"/>
    <w:rsid w:val="1C7D00AF"/>
    <w:rsid w:val="1C8D7C02"/>
    <w:rsid w:val="1E2F1AA3"/>
    <w:rsid w:val="1E41632A"/>
    <w:rsid w:val="1F1A226A"/>
    <w:rsid w:val="1F7D7034"/>
    <w:rsid w:val="1F7F05EA"/>
    <w:rsid w:val="1FD366F7"/>
    <w:rsid w:val="214D7163"/>
    <w:rsid w:val="22B16BB6"/>
    <w:rsid w:val="23051C08"/>
    <w:rsid w:val="238E6229"/>
    <w:rsid w:val="24192CCC"/>
    <w:rsid w:val="24294990"/>
    <w:rsid w:val="245B7A75"/>
    <w:rsid w:val="266B785E"/>
    <w:rsid w:val="276F6B1A"/>
    <w:rsid w:val="28B5119F"/>
    <w:rsid w:val="2925497F"/>
    <w:rsid w:val="297734D3"/>
    <w:rsid w:val="2A9B51D1"/>
    <w:rsid w:val="2AB8768C"/>
    <w:rsid w:val="2AF90C20"/>
    <w:rsid w:val="2BDA5401"/>
    <w:rsid w:val="2BFB51FB"/>
    <w:rsid w:val="2C074BE4"/>
    <w:rsid w:val="2E1C7BDA"/>
    <w:rsid w:val="2E684A77"/>
    <w:rsid w:val="2F7D60D8"/>
    <w:rsid w:val="30065B42"/>
    <w:rsid w:val="31120620"/>
    <w:rsid w:val="3143363F"/>
    <w:rsid w:val="32936395"/>
    <w:rsid w:val="333C4A1E"/>
    <w:rsid w:val="341541B3"/>
    <w:rsid w:val="342D0029"/>
    <w:rsid w:val="359016E9"/>
    <w:rsid w:val="360B48D8"/>
    <w:rsid w:val="36C266F4"/>
    <w:rsid w:val="36F96C3B"/>
    <w:rsid w:val="3798381E"/>
    <w:rsid w:val="37B06E3B"/>
    <w:rsid w:val="38984668"/>
    <w:rsid w:val="39083B29"/>
    <w:rsid w:val="399449A9"/>
    <w:rsid w:val="39F10607"/>
    <w:rsid w:val="3A0D654D"/>
    <w:rsid w:val="3A385487"/>
    <w:rsid w:val="3BC00C5C"/>
    <w:rsid w:val="3C74229E"/>
    <w:rsid w:val="3C881A1D"/>
    <w:rsid w:val="3CD52CE1"/>
    <w:rsid w:val="3DB36AB8"/>
    <w:rsid w:val="3DC444D6"/>
    <w:rsid w:val="42D43CE6"/>
    <w:rsid w:val="43291FBD"/>
    <w:rsid w:val="434866CE"/>
    <w:rsid w:val="460A3B9A"/>
    <w:rsid w:val="472D728A"/>
    <w:rsid w:val="47706F25"/>
    <w:rsid w:val="47C1404A"/>
    <w:rsid w:val="490A7762"/>
    <w:rsid w:val="49CD6565"/>
    <w:rsid w:val="4B8735F3"/>
    <w:rsid w:val="4E7822F9"/>
    <w:rsid w:val="500A2C9D"/>
    <w:rsid w:val="50AD433D"/>
    <w:rsid w:val="519A66BB"/>
    <w:rsid w:val="52FA30F5"/>
    <w:rsid w:val="53A349F8"/>
    <w:rsid w:val="54875D3D"/>
    <w:rsid w:val="54892DB6"/>
    <w:rsid w:val="54E44488"/>
    <w:rsid w:val="56CA047C"/>
    <w:rsid w:val="573B34B8"/>
    <w:rsid w:val="577A30C9"/>
    <w:rsid w:val="57AE7CFA"/>
    <w:rsid w:val="58063F31"/>
    <w:rsid w:val="58AE5906"/>
    <w:rsid w:val="5A912533"/>
    <w:rsid w:val="5E007891"/>
    <w:rsid w:val="5E1D411C"/>
    <w:rsid w:val="5F7169A0"/>
    <w:rsid w:val="6086291F"/>
    <w:rsid w:val="60972F74"/>
    <w:rsid w:val="60AC7EA8"/>
    <w:rsid w:val="618039C3"/>
    <w:rsid w:val="6240217C"/>
    <w:rsid w:val="656B6D3C"/>
    <w:rsid w:val="65C12187"/>
    <w:rsid w:val="65CB2D34"/>
    <w:rsid w:val="6671787F"/>
    <w:rsid w:val="66BA4938"/>
    <w:rsid w:val="66F6273D"/>
    <w:rsid w:val="6730622F"/>
    <w:rsid w:val="68E521F1"/>
    <w:rsid w:val="6A0F5AB5"/>
    <w:rsid w:val="6A31378C"/>
    <w:rsid w:val="6AA24A37"/>
    <w:rsid w:val="6B754BF2"/>
    <w:rsid w:val="6DD10A2E"/>
    <w:rsid w:val="6E1A274F"/>
    <w:rsid w:val="6E9C47F3"/>
    <w:rsid w:val="6EDC1FE0"/>
    <w:rsid w:val="6F5042C2"/>
    <w:rsid w:val="6FCF1D3D"/>
    <w:rsid w:val="6FDE68A2"/>
    <w:rsid w:val="70ED5BD4"/>
    <w:rsid w:val="714855EB"/>
    <w:rsid w:val="71975EDE"/>
    <w:rsid w:val="722033AA"/>
    <w:rsid w:val="73A90619"/>
    <w:rsid w:val="749A76C7"/>
    <w:rsid w:val="75810422"/>
    <w:rsid w:val="75E37126"/>
    <w:rsid w:val="76696805"/>
    <w:rsid w:val="769D04A5"/>
    <w:rsid w:val="77272457"/>
    <w:rsid w:val="77760BF0"/>
    <w:rsid w:val="77EB7081"/>
    <w:rsid w:val="78100484"/>
    <w:rsid w:val="78290477"/>
    <w:rsid w:val="7872088B"/>
    <w:rsid w:val="78AF6742"/>
    <w:rsid w:val="78DB0495"/>
    <w:rsid w:val="7AA31154"/>
    <w:rsid w:val="7BDE63FB"/>
    <w:rsid w:val="7D3B5014"/>
    <w:rsid w:val="7D4A08D3"/>
    <w:rsid w:val="7D982C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1888</Words>
  <Characters>2053</Characters>
  <Lines>17</Lines>
  <Paragraphs>4</Paragraphs>
  <TotalTime>2</TotalTime>
  <ScaleCrop>false</ScaleCrop>
  <LinksUpToDate>false</LinksUpToDate>
  <CharactersWithSpaces>2253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2018-04-27T00:23:00Z</dcterms:created>
  <dc:creator>juvg</dc:creator>
  <cp:lastModifiedBy>ꫛꫀꪝ皮蛋豆腐</cp:lastModifiedBy>
  <cp:lastPrinted>2018-11-11T03:13:00Z</cp:lastPrinted>
  <dcterms:modified xsi:type="dcterms:W3CDTF">2024-10-16T03:35:12Z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A53141BC9A1B425E805CB78A657751B9</vt:lpwstr>
  </property>
</Properties>
</file>