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大学物理</w:t>
      </w:r>
      <w:r>
        <w:rPr>
          <w:rFonts w:hint="eastAsia" w:ascii="黑体" w:hAnsi="黑体" w:eastAsia="黑体"/>
          <w:bCs/>
          <w:sz w:val="32"/>
          <w:szCs w:val="32"/>
          <w:lang w:eastAsia="zh-CN"/>
        </w:rPr>
        <w:t>（</w:t>
      </w:r>
      <w:r>
        <w:rPr>
          <w:rFonts w:hint="eastAsia" w:ascii="黑体" w:hAnsi="黑体" w:eastAsia="黑体"/>
          <w:bCs/>
          <w:sz w:val="32"/>
          <w:szCs w:val="32"/>
          <w:lang w:val="en-US" w:eastAsia="zh-CN"/>
        </w:rPr>
        <w:t>2</w:t>
      </w:r>
      <w:r>
        <w:rPr>
          <w:rFonts w:hint="eastAsia" w:ascii="黑体" w:hAnsi="黑体" w:eastAsia="黑体"/>
          <w:bCs/>
          <w:sz w:val="32"/>
          <w:szCs w:val="32"/>
          <w:lang w:eastAsia="zh-CN"/>
        </w:rPr>
        <w:t>）</w:t>
      </w:r>
      <w:r>
        <w:rPr>
          <w:rFonts w:hint="eastAsia" w:ascii="黑体" w:hAnsi="黑体" w:eastAsia="黑体"/>
          <w:bCs/>
          <w:sz w:val="32"/>
          <w:szCs w:val="32"/>
        </w:rPr>
        <w:t xml:space="preserve">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097"/>
        <w:gridCol w:w="1155"/>
        <w:gridCol w:w="1134"/>
        <w:gridCol w:w="336"/>
        <w:gridCol w:w="107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ascii="Times New Roman" w:hAnsi="Times New Roman" w:eastAsia="宋体" w:cs="Times New Roman"/>
                <w:color w:val="000000" w:themeColor="text1"/>
                <w:sz w:val="21"/>
                <w:szCs w:val="18"/>
                <w:lang w:eastAsia="zh-CN"/>
                <w14:textFill>
                  <w14:solidFill>
                    <w14:schemeClr w14:val="tx1"/>
                  </w14:solidFill>
                </w14:textFill>
              </w:rPr>
            </w:pPr>
            <w:r>
              <w:rPr>
                <w:rFonts w:hint="default" w:ascii="Times New Roman" w:hAnsi="Times New Roman" w:eastAsia="宋体" w:cs="Times New Roman"/>
                <w:color w:val="000000" w:themeColor="text1"/>
                <w:sz w:val="21"/>
                <w:szCs w:val="18"/>
                <w14:textFill>
                  <w14:solidFill>
                    <w14:schemeClr w14:val="tx1"/>
                  </w14:solidFill>
                </w14:textFill>
              </w:rPr>
              <w:t>（中文）大学物理</w:t>
            </w:r>
            <w:r>
              <w:rPr>
                <w:rFonts w:hint="default" w:ascii="Times New Roman" w:hAnsi="Times New Roman"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val="en-US" w:eastAsia="zh-CN"/>
                <w14:textFill>
                  <w14:solidFill>
                    <w14:schemeClr w14:val="tx1"/>
                  </w14:solidFill>
                </w14:textFill>
              </w:rPr>
              <w:t>2</w:t>
            </w:r>
            <w:r>
              <w:rPr>
                <w:rFonts w:hint="default"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default" w:ascii="Times New Roman" w:hAnsi="Times New Roman" w:eastAsia="宋体" w:cs="Times New Roman"/>
                <w:color w:val="000000" w:themeColor="text1"/>
                <w:sz w:val="21"/>
                <w:szCs w:val="18"/>
                <w:lang w:eastAsia="zh-CN"/>
                <w14:textFill>
                  <w14:solidFill>
                    <w14:schemeClr w14:val="tx1"/>
                  </w14:solidFill>
                </w14:textFill>
              </w:rPr>
            </w:pPr>
            <w:r>
              <w:rPr>
                <w:rFonts w:hint="default" w:ascii="Times New Roman" w:hAnsi="Times New Roman" w:eastAsia="宋体" w:cs="Times New Roman"/>
                <w:color w:val="000000" w:themeColor="text1"/>
                <w:sz w:val="21"/>
                <w:szCs w:val="18"/>
                <w14:textFill>
                  <w14:solidFill>
                    <w14:schemeClr w14:val="tx1"/>
                  </w14:solidFill>
                </w14:textFill>
              </w:rPr>
              <w:t>（英文）</w:t>
            </w:r>
            <w:r>
              <w:rPr>
                <w:rFonts w:hint="default" w:ascii="Times New Roman" w:hAnsi="Times New Roman" w:eastAsia="宋体" w:cs="Times New Roman"/>
                <w:color w:val="000000" w:themeColor="text1"/>
                <w:sz w:val="21"/>
                <w:szCs w:val="18"/>
                <w14:textFill>
                  <w14:solidFill>
                    <w14:schemeClr w14:val="tx1"/>
                  </w14:solidFill>
                </w14:textFill>
              </w:rPr>
              <w:t>University Physics</w:t>
            </w:r>
            <w:r>
              <w:rPr>
                <w:rFonts w:hint="default" w:ascii="Times New Roman" w:hAnsi="Times New Roman"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val="en-US" w:eastAsia="zh-CN"/>
                <w14:textFill>
                  <w14:solidFill>
                    <w14:schemeClr w14:val="tx1"/>
                  </w14:solidFill>
                </w14:textFill>
              </w:rPr>
              <w:t>2</w:t>
            </w:r>
            <w:r>
              <w:rPr>
                <w:rFonts w:hint="default"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097"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eastAsia" w:ascii="Times New Roman" w:hAnsi="Times New Roman" w:eastAsia="黑体" w:cs="Times New Roman"/>
                <w:color w:val="000000" w:themeColor="text1"/>
                <w:sz w:val="21"/>
                <w:szCs w:val="18"/>
                <w:lang w:val="en-US" w:eastAsia="zh-CN"/>
                <w14:textFill>
                  <w14:solidFill>
                    <w14:schemeClr w14:val="tx1"/>
                  </w14:solidFill>
                </w14:textFill>
              </w:rPr>
              <w:t>2110078</w:t>
            </w:r>
          </w:p>
        </w:tc>
        <w:tc>
          <w:tcPr>
            <w:tcW w:w="2289"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097"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155"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134" w:type="dxa"/>
            <w:vAlign w:val="center"/>
          </w:tcPr>
          <w:p>
            <w:pPr>
              <w:widowControl w:val="0"/>
              <w:jc w:val="left"/>
              <w:rPr>
                <w:rFonts w:hint="default" w:ascii="黑体" w:hAnsi="黑体" w:eastAsia="黑体"/>
                <w:color w:val="000000" w:themeColor="text1"/>
                <w:sz w:val="21"/>
                <w:szCs w:val="18"/>
                <w:lang w:val="en-US" w:eastAsia="zh-CN"/>
                <w14:textFill>
                  <w14:solidFill>
                    <w14:schemeClr w14:val="tx1"/>
                  </w14:solidFill>
                </w14:textFill>
              </w:rPr>
            </w:pPr>
            <w:r>
              <w:rPr>
                <w:rFonts w:hint="eastAsia" w:ascii="Times New Roman" w:hAnsi="Times New Roman" w:eastAsia="黑体" w:cs="Times New Roman"/>
                <w:color w:val="000000" w:themeColor="text1"/>
                <w:sz w:val="21"/>
                <w:szCs w:val="18"/>
                <w:lang w:val="en-US" w:eastAsia="zh-CN"/>
                <w14:textFill>
                  <w14:solidFill>
                    <w14:schemeClr w14:val="tx1"/>
                  </w14:solidFill>
                </w14:textFill>
              </w:rPr>
              <w:t>3</w:t>
            </w:r>
            <w:r>
              <w:rPr>
                <w:rFonts w:hint="default" w:ascii="Times New Roman" w:hAnsi="Times New Roman" w:eastAsia="黑体" w:cs="Times New Roman"/>
                <w:color w:val="000000" w:themeColor="text1"/>
                <w:sz w:val="21"/>
                <w:szCs w:val="18"/>
                <w:lang w:val="en-US" w:eastAsia="zh-CN"/>
                <w14:textFill>
                  <w14:solidFill>
                    <w14:schemeClr w14:val="tx1"/>
                  </w14:solidFill>
                </w14:textFill>
              </w:rPr>
              <w:t>8</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097"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r>
              <w:rPr>
                <w:rFonts w:hint="eastAsia" w:ascii="宋体" w:hAnsi="宋体" w:eastAsia="宋体" w:cs="宋体"/>
                <w:color w:val="000000" w:themeColor="text1"/>
                <w:sz w:val="21"/>
                <w:szCs w:val="18"/>
                <w:lang w:eastAsia="zh-CN"/>
                <w14:textFill>
                  <w14:solidFill>
                    <w14:schemeClr w14:val="tx1"/>
                  </w14:solidFill>
                </w14:textFill>
              </w:rPr>
              <w:t>（通识教育学院）</w:t>
            </w:r>
          </w:p>
        </w:tc>
        <w:tc>
          <w:tcPr>
            <w:tcW w:w="2289"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w:t>
            </w:r>
            <w:r>
              <w:rPr>
                <w:rFonts w:hint="eastAsia" w:cs="宋体"/>
                <w:color w:val="000000" w:themeColor="text1"/>
                <w:sz w:val="21"/>
                <w:szCs w:val="18"/>
                <w:lang w:eastAsia="zh-CN"/>
                <w14:textFill>
                  <w14:solidFill>
                    <w14:schemeClr w14:val="tx1"/>
                  </w14:solidFill>
                </w14:textFill>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097"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公共基础课</w:t>
            </w:r>
          </w:p>
        </w:tc>
        <w:tc>
          <w:tcPr>
            <w:tcW w:w="2289"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黑体" w:hAnsi="黑体" w:eastAsia="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w:t>
            </w:r>
            <w:r>
              <w:rPr>
                <w:rFonts w:hint="eastAsia" w:ascii="宋体" w:hAnsi="宋体" w:eastAsia="宋体" w:cs="宋体"/>
                <w:color w:val="000000" w:themeColor="text1"/>
                <w:sz w:val="21"/>
                <w:szCs w:val="18"/>
                <w14:textFill>
                  <w14:solidFill>
                    <w14:schemeClr w14:val="tx1"/>
                  </w14:solidFill>
                </w14:textFill>
              </w:rPr>
              <w:t>大学物理学</w:t>
            </w:r>
            <w:r>
              <w:rPr>
                <w:rFonts w:hint="eastAsia" w:ascii="宋体" w:hAnsi="宋体" w:eastAsia="宋体" w:cs="宋体"/>
                <w:color w:val="000000" w:themeColor="text1"/>
                <w:sz w:val="21"/>
                <w:szCs w:val="18"/>
                <w:lang w:eastAsia="zh-CN"/>
                <w14:textFill>
                  <w14:solidFill>
                    <w14:schemeClr w14:val="tx1"/>
                  </w14:solidFill>
                </w14:textFill>
              </w:rPr>
              <w:t>》王少杰等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9787040606300</w:t>
            </w:r>
            <w:r>
              <w:rPr>
                <w:rFonts w:hint="eastAsia" w:ascii="Times New Roman" w:hAnsi="Times New Roman" w:cs="Times New Roman"/>
                <w:color w:val="000000" w:themeColor="text1"/>
                <w:sz w:val="21"/>
                <w:szCs w:val="18"/>
                <w:lang w:eastAsia="zh-CN"/>
                <w14:textFill>
                  <w14:solidFill>
                    <w14:schemeClr w14:val="tx1"/>
                  </w14:solidFill>
                </w14:textFill>
              </w:rPr>
              <w:t>，高等教育出版社，第五版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Times New Roman" w:hAnsi="Times New Roman" w:eastAsia="宋体" w:cs="Times New Roman"/>
                <w:color w:val="000000" w:themeColor="text1"/>
                <w:sz w:val="21"/>
                <w:szCs w:val="18"/>
                <w:lang w:val="en-US" w:eastAsia="zh-CN"/>
                <w14:textFill>
                  <w14:solidFill>
                    <w14:schemeClr w14:val="tx1"/>
                  </w14:solidFill>
                </w14:textFill>
              </w:rPr>
            </w:pPr>
            <w:r>
              <w:rPr>
                <w:rFonts w:hint="default" w:ascii="Times New Roman" w:hAnsi="Times New Roman" w:eastAsia="宋体" w:cs="Times New Roman"/>
                <w:color w:val="000000" w:themeColor="text1"/>
                <w:sz w:val="21"/>
                <w:szCs w:val="18"/>
                <w14:textFill>
                  <w14:solidFill>
                    <w14:schemeClr w14:val="tx1"/>
                  </w14:solidFill>
                </w14:textFill>
              </w:rPr>
              <w:t>高等数学（</w:t>
            </w:r>
            <w:r>
              <w:rPr>
                <w:rFonts w:hint="default" w:ascii="Times New Roman" w:hAnsi="Times New Roman" w:cs="Times New Roman"/>
                <w:color w:val="000000" w:themeColor="text1"/>
                <w:sz w:val="21"/>
                <w:szCs w:val="18"/>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18"/>
                <w14:textFill>
                  <w14:solidFill>
                    <w14:schemeClr w14:val="tx1"/>
                  </w14:solidFill>
                </w14:textFill>
              </w:rPr>
              <w:t>）</w:t>
            </w:r>
            <w:r>
              <w:rPr>
                <w:rFonts w:hint="default" w:ascii="Times New Roman" w:hAnsi="Times New Roman" w:cs="Times New Roman"/>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w:t>
            </w:r>
            <w:r>
              <w:rPr>
                <w:rFonts w:hint="eastAsia" w:ascii="Times New Roman" w:hAnsi="Times New Roman" w:cs="Times New Roman"/>
                <w:color w:val="000000" w:themeColor="text1"/>
                <w:sz w:val="21"/>
                <w:szCs w:val="18"/>
                <w:lang w:val="en-US" w:eastAsia="zh-CN"/>
                <w14:textFill>
                  <w14:solidFill>
                    <w14:schemeClr w14:val="tx1"/>
                  </w14:solidFill>
                </w14:textFill>
              </w:rPr>
              <w:t>、大学物理（1）2100077（3）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《大学物理（</w:t>
            </w:r>
            <w:r>
              <w:rPr>
                <w:rFonts w:hint="default" w:ascii="Times New Roman" w:hAnsi="Times New Roman" w:cs="Times New Roman"/>
                <w:color w:val="000000" w:themeColor="text1"/>
                <w:sz w:val="21"/>
                <w:szCs w:val="18"/>
                <w:lang w:val="en-US" w:eastAsia="zh-CN"/>
                <w14:textFill>
                  <w14:solidFill>
                    <w14:schemeClr w14:val="tx1"/>
                  </w14:solidFill>
                </w14:textFill>
              </w:rPr>
              <w:t>2</w:t>
            </w:r>
            <w:r>
              <w:rPr>
                <w:rFonts w:hint="default" w:ascii="Times New Roman" w:hAnsi="Times New Roman"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val="en-US" w:eastAsia="zh-CN"/>
                <w14:textFill>
                  <w14:solidFill>
                    <w14:schemeClr w14:val="tx1"/>
                  </w14:solidFill>
                </w14:textFill>
              </w:rPr>
              <w:t>课程系统地阐述了物理学中热学、振动波动学和</w:t>
            </w:r>
            <w:r>
              <w:rPr>
                <w:rFonts w:hint="default" w:ascii="Times New Roman" w:hAnsi="Times New Roman" w:cs="Times New Roman"/>
                <w:color w:val="000000" w:themeColor="text1"/>
                <w:sz w:val="21"/>
                <w:szCs w:val="18"/>
                <w:lang w:eastAsia="zh-CN"/>
                <w14:textFill>
                  <w14:solidFill>
                    <w14:schemeClr w14:val="tx1"/>
                  </w14:solidFill>
                </w14:textFill>
              </w:rPr>
              <w:t>光学</w:t>
            </w:r>
            <w:r>
              <w:rPr>
                <w:rFonts w:hint="default" w:ascii="Times New Roman" w:hAnsi="Times New Roman" w:cs="Times New Roman"/>
                <w:color w:val="000000" w:themeColor="text1"/>
                <w:sz w:val="21"/>
                <w:szCs w:val="18"/>
                <w:lang w:val="en-US" w:eastAsia="zh-CN"/>
                <w14:textFill>
                  <w14:solidFill>
                    <w14:schemeClr w14:val="tx1"/>
                  </w14:solidFill>
                </w14:textFill>
              </w:rPr>
              <w:t>的基本概念、基本理论和基本方法。振动波动学包括机械振动、机械波；</w:t>
            </w:r>
            <w:r>
              <w:rPr>
                <w:rFonts w:hint="default" w:ascii="Times New Roman" w:hAnsi="Times New Roman" w:cs="Times New Roman"/>
                <w:color w:val="000000" w:themeColor="text1"/>
                <w:sz w:val="21"/>
                <w:szCs w:val="18"/>
                <w:lang w:eastAsia="zh-CN"/>
                <w14:textFill>
                  <w14:solidFill>
                    <w14:schemeClr w14:val="tx1"/>
                  </w14:solidFill>
                </w14:textFill>
              </w:rPr>
              <w:t>热学包括气体动理论、热力学；光学包括光的干涉、光的衍射。</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通过本课程的学习，使学生掌握物理学的基本概念、基本理论和基本规律，能运用物理学知识解释自然科学问题，通过进一步深入学习能够分析和解决专业工程中的遇到的物理问题。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default" w:ascii="Times New Roman" w:hAnsi="Times New Roman" w:cs="Times New Roman"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default"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pPr>
              <w:widowControl w:val="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cs="Times New Roman" w:eastAsiaTheme="minorEastAsia"/>
                <w:color w:val="000000" w:themeColor="text1"/>
                <w:sz w:val="21"/>
                <w:szCs w:val="18"/>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18"/>
                <w14:textFill>
                  <w14:solidFill>
                    <w14:schemeClr w14:val="tx1"/>
                  </w14:solidFill>
                </w14:textFill>
              </w:rPr>
              <w:t>适合理工类本科</w:t>
            </w:r>
            <w:r>
              <w:rPr>
                <w:rFonts w:hint="default" w:ascii="Times New Roman" w:hAnsi="Times New Roman" w:cs="Times New Roman" w:eastAsiaTheme="minorEastAsia"/>
                <w:color w:val="000000" w:themeColor="text1"/>
                <w:sz w:val="21"/>
                <w:szCs w:val="18"/>
                <w:lang w:eastAsia="zh-CN"/>
                <w14:textFill>
                  <w14:solidFill>
                    <w14:schemeClr w14:val="tx1"/>
                  </w14:solidFill>
                </w14:textFill>
              </w:rPr>
              <w:t>并且培养计划中大学物理上两个学期的专业，建议</w:t>
            </w:r>
            <w:r>
              <w:rPr>
                <w:rFonts w:hint="default" w:ascii="Times New Roman" w:hAnsi="Times New Roman" w:cs="Times New Roman" w:eastAsiaTheme="minorEastAsia"/>
                <w:color w:val="000000" w:themeColor="text1"/>
                <w:sz w:val="21"/>
                <w:szCs w:val="18"/>
                <w14:textFill>
                  <w14:solidFill>
                    <w14:schemeClr w14:val="tx1"/>
                  </w14:solidFill>
                </w14:textFill>
              </w:rPr>
              <w:t>在</w:t>
            </w:r>
            <w:r>
              <w:rPr>
                <w:rFonts w:hint="default" w:ascii="Times New Roman" w:hAnsi="Times New Roman" w:cs="Times New Roman" w:eastAsiaTheme="minorEastAsia"/>
                <w:color w:val="000000" w:themeColor="text1"/>
                <w:sz w:val="21"/>
                <w:szCs w:val="18"/>
                <w:lang w:eastAsia="zh-CN"/>
                <w14:textFill>
                  <w14:solidFill>
                    <w14:schemeClr w14:val="tx1"/>
                  </w14:solidFill>
                </w14:textFill>
              </w:rPr>
              <w:t>二年级</w:t>
            </w:r>
            <w:r>
              <w:rPr>
                <w:rFonts w:hint="default" w:ascii="Times New Roman" w:hAnsi="Times New Roman" w:cs="Times New Roman" w:eastAsiaTheme="minorEastAsia"/>
                <w:color w:val="000000" w:themeColor="text1"/>
                <w:sz w:val="21"/>
                <w:szCs w:val="18"/>
                <w14:textFill>
                  <w14:solidFill>
                    <w14:schemeClr w14:val="tx1"/>
                  </w14:solidFill>
                </w14:textFill>
              </w:rPr>
              <w:t>学习，要求</w:t>
            </w:r>
            <w:r>
              <w:rPr>
                <w:rFonts w:hint="default" w:ascii="Times New Roman" w:hAnsi="Times New Roman" w:cs="Times New Roman" w:eastAsiaTheme="minorEastAsia"/>
                <w:color w:val="000000" w:themeColor="text1"/>
                <w:sz w:val="21"/>
                <w:szCs w:val="18"/>
                <w:lang w:eastAsia="zh-CN"/>
                <w14:textFill>
                  <w14:solidFill>
                    <w14:schemeClr w14:val="tx1"/>
                  </w14:solidFill>
                </w14:textFill>
              </w:rPr>
              <w:t>有</w:t>
            </w:r>
            <w:r>
              <w:rPr>
                <w:rFonts w:hint="eastAsia" w:ascii="Times New Roman" w:hAnsi="Times New Roman" w:cs="Times New Roman" w:eastAsiaTheme="minorEastAsia"/>
                <w:color w:val="000000" w:themeColor="text1"/>
                <w:sz w:val="21"/>
                <w:szCs w:val="18"/>
                <w:lang w:eastAsia="zh-CN"/>
                <w14:textFill>
                  <w14:solidFill>
                    <w14:schemeClr w14:val="tx1"/>
                  </w14:solidFill>
                </w14:textFill>
              </w:rPr>
              <w:t>大学</w:t>
            </w:r>
            <w:r>
              <w:rPr>
                <w:rFonts w:hint="default" w:ascii="Times New Roman" w:hAnsi="Times New Roman" w:cs="Times New Roman" w:eastAsiaTheme="minorEastAsia"/>
                <w:color w:val="000000" w:themeColor="text1"/>
                <w:sz w:val="21"/>
                <w:szCs w:val="18"/>
                <w14:textFill>
                  <w14:solidFill>
                    <w14:schemeClr w14:val="tx1"/>
                  </w14:solidFill>
                </w14:textFill>
              </w:rPr>
              <w:t>物理</w:t>
            </w:r>
            <w:r>
              <w:rPr>
                <w:rFonts w:hint="eastAsia" w:ascii="Times New Roman" w:hAnsi="Times New Roman" w:cs="Times New Roman" w:eastAsiaTheme="minorEastAsia"/>
                <w:color w:val="000000" w:themeColor="text1"/>
                <w:sz w:val="21"/>
                <w:szCs w:val="18"/>
                <w:lang w:eastAsia="zh-CN"/>
                <w14:textFill>
                  <w14:solidFill>
                    <w14:schemeClr w14:val="tx1"/>
                  </w14:solidFill>
                </w14:textFill>
              </w:rPr>
              <w:t>（</w:t>
            </w:r>
            <w:r>
              <w:rPr>
                <w:rFonts w:hint="eastAsia" w:ascii="Times New Roman" w:hAnsi="Times New Roman" w:cs="Times New Roman" w:eastAsiaTheme="minorEastAsia"/>
                <w:color w:val="000000" w:themeColor="text1"/>
                <w:sz w:val="21"/>
                <w:szCs w:val="18"/>
                <w:lang w:val="en-US" w:eastAsia="zh-CN"/>
                <w14:textFill>
                  <w14:solidFill>
                    <w14:schemeClr w14:val="tx1"/>
                  </w14:solidFill>
                </w14:textFill>
              </w:rPr>
              <w:t>1</w:t>
            </w:r>
            <w:r>
              <w:rPr>
                <w:rFonts w:hint="eastAsia" w:ascii="Times New Roman" w:hAnsi="Times New Roman" w:cs="Times New Roman" w:eastAsiaTheme="minorEastAsia"/>
                <w:color w:val="000000" w:themeColor="text1"/>
                <w:sz w:val="21"/>
                <w:szCs w:val="18"/>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18"/>
                <w14:textFill>
                  <w14:solidFill>
                    <w14:schemeClr w14:val="tx1"/>
                  </w14:solidFill>
                </w14:textFill>
              </w:rPr>
              <w:t>和高等数学的基础。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25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471170</wp:posOffset>
                  </wp:positionH>
                  <wp:positionV relativeFrom="paragraph">
                    <wp:posOffset>-74295</wp:posOffset>
                  </wp:positionV>
                  <wp:extent cx="698500" cy="354330"/>
                  <wp:effectExtent l="0" t="0" r="6350" b="7620"/>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698500" cy="35433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382270</wp:posOffset>
                  </wp:positionH>
                  <wp:positionV relativeFrom="paragraph">
                    <wp:posOffset>328295</wp:posOffset>
                  </wp:positionV>
                  <wp:extent cx="809625" cy="400050"/>
                  <wp:effectExtent l="0" t="0" r="9525"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809625" cy="400050"/>
                          </a:xfrm>
                          <a:prstGeom prst="rect">
                            <a:avLst/>
                          </a:prstGeom>
                          <a:noFill/>
                          <a:ln>
                            <a:noFill/>
                          </a:ln>
                        </pic:spPr>
                      </pic:pic>
                    </a:graphicData>
                  </a:graphic>
                </wp:anchor>
              </w:drawing>
            </w:r>
            <w:r>
              <w:rPr>
                <w:rFonts w:hint="eastAsia"/>
                <w:sz w:val="21"/>
                <w:szCs w:val="21"/>
              </w:rPr>
              <w:t>（签名）</w:t>
            </w:r>
          </w:p>
        </w:tc>
        <w:tc>
          <w:tcPr>
            <w:tcW w:w="1470"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863"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25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70"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863"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25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70"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863"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bookmarkStart w:id="6" w:name="_GoBack"/>
      <w:bookmarkEnd w:id="6"/>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掌握振动波动、光学和热学的基本概念、基本理论和基本方法。</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使学生对</w:t>
            </w:r>
            <w:r>
              <w:rPr>
                <w:rFonts w:hint="eastAsia" w:ascii="Times New Roman" w:hAnsi="Times New Roman" w:cs="Times New Roman"/>
                <w:bCs/>
                <w:color w:val="000000"/>
                <w:sz w:val="21"/>
                <w:szCs w:val="18"/>
                <w:lang w:val="en-US" w:eastAsia="zh-CN"/>
              </w:rPr>
              <w:t>振动</w:t>
            </w:r>
            <w:r>
              <w:rPr>
                <w:rFonts w:hint="default" w:ascii="Times New Roman" w:hAnsi="Times New Roman" w:cs="Times New Roman"/>
                <w:b w:val="0"/>
                <w:bCs/>
                <w:color w:val="000000"/>
                <w:sz w:val="21"/>
                <w:szCs w:val="18"/>
                <w:lang w:val="en-US" w:eastAsia="zh-CN"/>
              </w:rPr>
              <w:t>波动、光学和热学</w:t>
            </w:r>
            <w:r>
              <w:rPr>
                <w:rFonts w:hint="default" w:ascii="Times New Roman" w:hAnsi="Times New Roman" w:cs="Times New Roman"/>
                <w:bCs/>
                <w:color w:val="000000"/>
                <w:sz w:val="21"/>
                <w:szCs w:val="18"/>
                <w:lang w:val="en-US" w:eastAsia="zh-CN"/>
              </w:rPr>
              <w:t>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使学生在运算能力、抽象思维能力和对世界的认识能力等方面受到初步训练；熟悉研究物理学的基本思想和基本方法；培养学生判断、推理、归纳的逻辑思维 能力；细致、敏锐、准确的观察能力、想象创造力，逐步建立科学思维方法和运算能力。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应用物理学基本原理对工程问题建模和解决问题。</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培养学生分析问题和解决问题的能力，使学生在学习物理学知识的同时,能够具有运用物理学原理处理、解决实际问题的能力。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结合辩证唯物主义培养学生的科学精神和科学素质。</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34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4763"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34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4763"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348"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4763"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348"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0" w:name="OLE_LINK5"/>
            <w:bookmarkStart w:id="1" w:name="OLE_LINK6"/>
            <w:r>
              <w:rPr>
                <w:rFonts w:hint="default" w:ascii="Times New Roman" w:hAnsi="Times New Roman" w:eastAsia="宋体" w:cs="Times New Roman"/>
                <w:b/>
                <w:bCs/>
                <w:color w:val="000000"/>
                <w:kern w:val="0"/>
                <w:sz w:val="21"/>
                <w:szCs w:val="21"/>
                <w:lang w:val="en-US" w:eastAsia="zh-CN" w:bidi="ar"/>
              </w:rPr>
              <w:t>第一单元热学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第九章 气体动理论 (</w:t>
            </w:r>
            <w:r>
              <w:rPr>
                <w:rFonts w:hint="eastAsia" w:ascii="Times New Roman" w:hAnsi="Times New Roman" w:cs="Times New Roman"/>
                <w:b/>
                <w:bCs/>
                <w:color w:val="000000"/>
                <w:kern w:val="0"/>
                <w:sz w:val="21"/>
                <w:szCs w:val="21"/>
                <w:lang w:val="en-US" w:eastAsia="zh-CN" w:bidi="ar"/>
              </w:rPr>
              <w:t>3</w:t>
            </w:r>
            <w:r>
              <w:rPr>
                <w:rFonts w:hint="default" w:ascii="Times New Roman" w:hAnsi="Times New Roman" w:eastAsia="宋体" w:cs="Times New Roman"/>
                <w:b/>
                <w:bCs/>
                <w:color w:val="000000"/>
                <w:kern w:val="0"/>
                <w:sz w:val="21"/>
                <w:szCs w:val="21"/>
                <w:lang w:val="en-US" w:eastAsia="zh-CN" w:bidi="ar"/>
              </w:rPr>
              <w:t xml:space="preserve">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9-1 状态参量 平衡态 准静态过程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9-2 理想气体的物态方程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9-5 理想气体的压强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9-6 温度的微观本质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9-7 能量均分定理 理想气体的内能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1、物态参量、平衡态：了解气体准静态过程的概念；了解气体的物态参量，理解平衡态的概念。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2、掌握理想气体物态方程。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3、.理想气体的压强公式、温度公式及其统计解释：了解理想气体压强公式的微观本质；了解理想气体温度的微观解释；从宏观和统计意义上理解压强、温度等概念。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能量均分定理、理想气体的内能：了解自由度的概念；通过理想气体的刚性分子模型，理解气体分子平均能量按自由度均分定理；熟练掌握理想气体内能公式。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通过了解物理学家葛正权的人生经历，让学生认识到学以致用，精忠报国，是每一个公民的责任。培养学生们逐渐建立兢兢业业、艰苦朴素、不畏强权、甘愿与人民共疾苦的奋斗精神。</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第十章 热力学基础（</w:t>
            </w:r>
            <w:r>
              <w:rPr>
                <w:rFonts w:hint="eastAsia" w:ascii="Times New Roman" w:hAnsi="Times New Roman" w:cs="Times New Roman"/>
                <w:b/>
                <w:bCs/>
                <w:color w:val="000000"/>
                <w:kern w:val="0"/>
                <w:sz w:val="21"/>
                <w:szCs w:val="21"/>
                <w:lang w:val="en-US" w:eastAsia="zh-CN" w:bidi="ar"/>
              </w:rPr>
              <w:t>9</w:t>
            </w:r>
            <w:r>
              <w:rPr>
                <w:rFonts w:hint="default" w:ascii="Times New Roman" w:hAnsi="Times New Roman" w:eastAsia="宋体" w:cs="Times New Roman"/>
                <w:b/>
                <w:bCs/>
                <w:color w:val="000000"/>
                <w:kern w:val="0"/>
                <w:sz w:val="21"/>
                <w:szCs w:val="21"/>
                <w:lang w:val="en-US" w:eastAsia="zh-CN" w:bidi="ar"/>
              </w:rPr>
              <w:t xml:space="preserve">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10-1 热力学第一定律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10-2 热力学第一定律的应用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10-3 理想气体的绝热过程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10-4 循环过程和卡诺循环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1、系统的内能、功和热量，气体的摩尔热容量：掌握内能、功、热量的概念；掌握理想气体摩尔热容的表示及意义。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热力学第一定律及其对理想气体等体、等压、等温及绝热过程的应用：理解热力学第一定律及其意义；熟练应用热力学第一定律求解理想气体等体、等压、等温过程中的功、热量和内能的改变；熟练应用热力学第一定律和绝热方程求解理想气体绝热过程中功、内能的改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循环过程、卡诺循环、热机的效率（由等体、等压、等温及绝热过程组成的正循环）：掌握循环过程中能量转换关系，掌握卡诺循环效率的计算；熟练掌握热机的效率（由等体、等压、等温及绝热过程组成的正循环）的计算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热力学基础主要是培养学生理解第一次技术革命的历史意义，让学生能够认识和理解自己祖国的能源历史、能源文化、国情等，逐渐积淀成主人翁责任感、自豪感和归属感，有效引导学生树立正确的国家观、社会观和世界观。注重科学思维方法的训练和科学伦理的教育，培养学生探索未知、追求真理、勇攀科学高峰的责任感和使命感。 </w:t>
            </w:r>
          </w:p>
          <w:p>
            <w:pPr>
              <w:keepNext w:val="0"/>
              <w:keepLines w:val="0"/>
              <w:widowControl/>
              <w:suppressLineNumbers w:val="0"/>
              <w:jc w:val="left"/>
              <w:rPr>
                <w:rFonts w:hint="eastAsia" w:ascii="Times New Roman" w:hAnsi="Times New Roman" w:cs="Times New Roman"/>
                <w:b/>
                <w:bCs/>
                <w:color w:val="000000"/>
                <w:kern w:val="0"/>
                <w:sz w:val="21"/>
                <w:szCs w:val="21"/>
                <w:lang w:val="en-US" w:eastAsia="zh-CN" w:bidi="ar"/>
              </w:rPr>
            </w:pPr>
            <w:r>
              <w:rPr>
                <w:rFonts w:hint="eastAsia" w:ascii="Times New Roman" w:hAnsi="Times New Roman" w:cs="Times New Roman"/>
                <w:b/>
                <w:bCs/>
                <w:color w:val="000000"/>
                <w:kern w:val="0"/>
                <w:sz w:val="21"/>
                <w:szCs w:val="21"/>
                <w:lang w:val="en-US" w:eastAsia="zh-CN" w:bidi="ar"/>
              </w:rPr>
              <w:t>教学重点、难点：</w:t>
            </w:r>
          </w:p>
          <w:p>
            <w:pPr>
              <w:keepNext w:val="0"/>
              <w:keepLines w:val="0"/>
              <w:widowControl/>
              <w:numPr>
                <w:ilvl w:val="0"/>
                <w:numId w:val="0"/>
              </w:numPr>
              <w:suppressLineNumbers w:val="0"/>
              <w:jc w:val="left"/>
              <w:rPr>
                <w:rFonts w:hint="eastAsia" w:ascii="Times New Roman" w:hAnsi="Times New Roman"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热力学第一定律及其对理想气体等体、等压、等温及绝热过程的应用</w:t>
            </w:r>
            <w:r>
              <w:rPr>
                <w:rFonts w:hint="eastAsia" w:ascii="Times New Roman" w:hAnsi="Times New Roman" w:cs="Times New Roman"/>
                <w:color w:val="000000"/>
                <w:kern w:val="0"/>
                <w:sz w:val="21"/>
                <w:szCs w:val="21"/>
                <w:lang w:val="en-US" w:eastAsia="zh-CN" w:bidi="ar"/>
              </w:rPr>
              <w:t>。</w:t>
            </w:r>
          </w:p>
          <w:p>
            <w:pPr>
              <w:keepNext w:val="0"/>
              <w:keepLines w:val="0"/>
              <w:widowControl/>
              <w:numPr>
                <w:ilvl w:val="0"/>
                <w:numId w:val="0"/>
              </w:numPr>
              <w:suppressLineNumbers w:val="0"/>
              <w:jc w:val="left"/>
              <w:rPr>
                <w:rFonts w:hint="default" w:ascii="Times New Roman" w:hAnsi="Times New Roman"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循环过程、卡诺循环、热机的效率</w:t>
            </w:r>
            <w:r>
              <w:rPr>
                <w:rFonts w:hint="eastAsia" w:ascii="Times New Roman" w:hAnsi="Times New Roman" w:cs="Times New Roman"/>
                <w:color w:val="000000"/>
                <w:kern w:val="0"/>
                <w:sz w:val="21"/>
                <w:szCs w:val="21"/>
                <w:lang w:val="en-US" w:eastAsia="zh-CN" w:bidi="ar"/>
              </w:rPr>
              <w:t>。</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第二单元振动、波动、光学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第十一章：振动学基础（6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11-1 简谐振动的描述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11-2 简谐振动的动力学特征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11-3 简谐振动的合成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1、掌握简谐振动的基本特征，理解描述简谐振动的各物理量的意义及其相互联系。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 能熟练运用图线法以及旋转矢量法写出简谐振动的表达式。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3、理解同方向、同频率的两个简谐振动的合成规律；熟练计算同方向、同频率的两个简谐振动合成后的振幅和初相位，正确写出合成后的简谐振动方程。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通过弹簧振子模型的学习，培养学生由简入繁地处理实际问题的科学思维方法；结合胡克定律，介绍我国东汉的经学家郑玄在力与形变成正比关系上的贡献，增强学生的民族自豪感和文化自信。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第十二章 波动学基础 (6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12-1 机械波的产生和传播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12-2 平面简谐波的波函数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12-</w:t>
            </w:r>
            <w:r>
              <w:rPr>
                <w:rFonts w:hint="default"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 xml:space="preserve"> 惠更斯原理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12-</w:t>
            </w:r>
            <w:r>
              <w:rPr>
                <w:rFonts w:hint="default" w:ascii="Times New Roman" w:hAnsi="Times New Roman"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 xml:space="preserve"> 波的叠加原理 波的干涉</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1、机械波的产生和传播、波速、波长和频率的关系：理解机械波产生的条件和波的传播机理；掌握描述简谐波的各物理量（特别是相位）及各量间的基本关系；理解决定波速的因素及波速与振动速度的区别。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 平面简谐波的波函数：深刻理解平面简谐波波函数的物理意义以及各物理量的相互联系；熟练掌握由已知质点的简谐振动方程得出平面简谐波的波函数的基本方法及由波形图线求得波函数的方法；熟练掌握平面简谐波波函数与简谐振动方程的相互换算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 波的叠加原理、波的干涉：了解波的叠加原理；理解波的干涉现象、波的相干条件；熟练应用相位差和波程差分析、确定相干波叠加后振幅加强和减弱的条件。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从最为人们所熟知的机械波出发，逐渐引入电磁波、物质波、引力波的概念，引导学生了解科学发展的历史与规律，思考发现、解决问题的方法与范式，培养其唯物主义思想与严谨的逻辑及开放的思想。以波的干涉、衍射为例，引导学生自主思考其在实际工程中的可能应用。</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第十三章 光学 (1</w:t>
            </w:r>
            <w:r>
              <w:rPr>
                <w:rFonts w:hint="eastAsia" w:ascii="Times New Roman" w:hAnsi="Times New Roman" w:cs="Times New Roman"/>
                <w:b/>
                <w:bCs/>
                <w:color w:val="000000"/>
                <w:kern w:val="0"/>
                <w:sz w:val="21"/>
                <w:szCs w:val="21"/>
                <w:lang w:val="en-US" w:eastAsia="zh-CN" w:bidi="ar"/>
              </w:rPr>
              <w:t>4</w:t>
            </w:r>
            <w:r>
              <w:rPr>
                <w:rFonts w:hint="default" w:ascii="Times New Roman" w:hAnsi="Times New Roman" w:eastAsia="宋体" w:cs="Times New Roman"/>
                <w:b/>
                <w:bCs/>
                <w:color w:val="000000"/>
                <w:kern w:val="0"/>
                <w:sz w:val="21"/>
                <w:szCs w:val="21"/>
                <w:lang w:val="en-US" w:eastAsia="zh-CN" w:bidi="ar"/>
              </w:rPr>
              <w:t xml:space="preserve">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章节内容要点：</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13</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 xml:space="preserve"> 光的相干性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 双缝干涉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 xml:space="preserve"> 薄膜干涉</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13-</w:t>
            </w:r>
            <w:r>
              <w:rPr>
                <w:rFonts w:hint="default" w:ascii="Times New Roman" w:hAnsi="Times New Roman"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 xml:space="preserve">单缝衍射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13-</w:t>
            </w:r>
            <w:r>
              <w:rPr>
                <w:rFonts w:hint="default" w:ascii="Times New Roman" w:hAnsi="Times New Roman"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 xml:space="preserve"> 光栅衍射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cs="Times New Roman"/>
                <w:b/>
                <w:bCs/>
                <w:color w:val="000000"/>
                <w:kern w:val="0"/>
                <w:sz w:val="21"/>
                <w:szCs w:val="21"/>
                <w:lang w:val="en-US" w:eastAsia="zh-CN" w:bidi="ar"/>
              </w:rPr>
              <w:t>预期学习成果</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1、光的干涉现象、光程和光程差、半波损失：理解光的相干条件及获得相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干光的方法；熟练掌握光程、光程差以及光程差和相位差关系的计算</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熟练掌握半波损失的产生条件。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2、双缝干涉、薄膜干涉：能熟练分析、确定杨氏双缝干涉明、暗条纹的位置</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计算薄膜上、下表面反射光线的光程差，理解增透膜和增反膜</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、光的衍射、单缝衍射：了解惠更斯—菲涅耳原理以及它对光的衍射现象的定性解释；</w:t>
            </w:r>
            <w:r>
              <w:rPr>
                <w:rFonts w:hint="default" w:ascii="Times New Roman" w:hAnsi="Times New Roman" w:cs="Times New Roman"/>
                <w:color w:val="000000"/>
                <w:kern w:val="0"/>
                <w:sz w:val="21"/>
                <w:szCs w:val="21"/>
                <w:lang w:val="en-US" w:eastAsia="zh-CN" w:bidi="ar"/>
              </w:rPr>
              <w:t>了解</w:t>
            </w:r>
            <w:r>
              <w:rPr>
                <w:rFonts w:hint="default" w:ascii="Times New Roman" w:hAnsi="Times New Roman" w:eastAsia="宋体" w:cs="Times New Roman"/>
                <w:color w:val="000000"/>
                <w:kern w:val="0"/>
                <w:sz w:val="21"/>
                <w:szCs w:val="21"/>
                <w:lang w:val="en-US" w:eastAsia="zh-CN" w:bidi="ar"/>
              </w:rPr>
              <w:t>单缝夫琅和费衍射条纹分布规律。</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 xml:space="preserve">、衍射光栅：掌握光栅方程及其基本应用，能分析光栅衍射谱线的位置、光栅常数。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主要是围绕光学中的波动光学的学习，让学生认识到光具有波粒二重性。让学生体会到事物的双重特性，在不同的层面下表现出不同的性质。通过波动光学的学习，让学生认识到光是一把尺子可以测量微小的东西，测量的精度通常由光的波长决定。通过系统的学习，让学生认识到我国重大科研计划例如“天眼”设计建造的必要性，增加学生对国家的自豪感和归属感</w:t>
            </w:r>
            <w:r>
              <w:rPr>
                <w:rFonts w:hint="default" w:ascii="Times New Roman" w:hAnsi="Times New Roman" w:cs="Times New Roman"/>
                <w:color w:val="000000"/>
                <w:kern w:val="0"/>
                <w:sz w:val="21"/>
                <w:szCs w:val="21"/>
                <w:lang w:val="en-US" w:eastAsia="zh-CN" w:bidi="ar"/>
              </w:rPr>
              <w:t>。</w:t>
            </w:r>
          </w:p>
          <w:p>
            <w:pPr>
              <w:keepNext w:val="0"/>
              <w:keepLines w:val="0"/>
              <w:widowControl/>
              <w:suppressLineNumbers w:val="0"/>
              <w:jc w:val="left"/>
              <w:rPr>
                <w:rFonts w:hint="eastAsia" w:ascii="Times New Roman" w:hAnsi="Times New Roman" w:cs="Times New Roman"/>
                <w:b/>
                <w:bCs/>
                <w:color w:val="000000"/>
                <w:kern w:val="0"/>
                <w:sz w:val="21"/>
                <w:szCs w:val="21"/>
                <w:lang w:val="en-US" w:eastAsia="zh-CN" w:bidi="ar"/>
              </w:rPr>
            </w:pPr>
            <w:r>
              <w:rPr>
                <w:rFonts w:hint="eastAsia" w:ascii="Times New Roman" w:hAnsi="Times New Roman" w:cs="Times New Roman"/>
                <w:b/>
                <w:bCs/>
                <w:color w:val="000000"/>
                <w:kern w:val="0"/>
                <w:sz w:val="21"/>
                <w:szCs w:val="21"/>
                <w:lang w:val="en-US" w:eastAsia="zh-CN" w:bidi="ar"/>
              </w:rPr>
              <w:t>教学重点、难点：</w:t>
            </w:r>
          </w:p>
          <w:p>
            <w:pPr>
              <w:keepNext w:val="0"/>
              <w:keepLines w:val="0"/>
              <w:widowControl/>
              <w:numPr>
                <w:ilvl w:val="0"/>
                <w:numId w:val="0"/>
              </w:numPr>
              <w:suppressLineNumbers w:val="0"/>
              <w:jc w:val="left"/>
              <w:rPr>
                <w:rFonts w:hint="eastAsia" w:ascii="Times New Roman" w:hAnsi="Times New Roman"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1、振动和波动方程。</w:t>
            </w:r>
          </w:p>
          <w:p>
            <w:pPr>
              <w:keepNext w:val="0"/>
              <w:keepLines w:val="0"/>
              <w:widowControl/>
              <w:suppressLineNumbers w:val="0"/>
              <w:jc w:val="left"/>
              <w:rPr>
                <w:rFonts w:hint="eastAsia" w:ascii="Times New Roman" w:hAnsi="Times New Roman" w:eastAsia="宋体" w:cs="Times New Roman"/>
                <w:bCs/>
                <w:color w:val="000000"/>
                <w:kern w:val="0"/>
                <w:sz w:val="21"/>
                <w:szCs w:val="21"/>
                <w:lang w:val="en-US" w:eastAsia="zh-CN"/>
              </w:rPr>
            </w:pPr>
            <w:r>
              <w:rPr>
                <w:rFonts w:hint="eastAsia" w:ascii="Times New Roman" w:hAnsi="Times New Roman" w:cs="Times New Roman"/>
                <w:color w:val="000000"/>
                <w:kern w:val="0"/>
                <w:sz w:val="21"/>
                <w:szCs w:val="21"/>
                <w:lang w:val="en-US" w:eastAsia="zh-CN" w:bidi="ar"/>
              </w:rPr>
              <w:t>2、干涉和衍射。</w:t>
            </w:r>
          </w:p>
        </w:tc>
      </w:tr>
      <w:bookmarkEnd w:id="0"/>
      <w:bookmarkEnd w:id="1"/>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热学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振动、波动、光学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283"/>
        <w:gridCol w:w="3765"/>
        <w:gridCol w:w="1317"/>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283"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76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31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283"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3765" w:type="dxa"/>
            <w:vMerge w:val="continue"/>
          </w:tcPr>
          <w:p>
            <w:pPr>
              <w:widowControl w:val="0"/>
              <w:snapToGrid w:val="0"/>
              <w:jc w:val="center"/>
              <w:rPr>
                <w:rFonts w:ascii="黑体" w:hAnsi="黑体" w:eastAsia="黑体"/>
                <w:bCs/>
                <w:sz w:val="21"/>
                <w:szCs w:val="21"/>
              </w:rPr>
            </w:pPr>
          </w:p>
        </w:tc>
        <w:tc>
          <w:tcPr>
            <w:tcW w:w="1317"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14" w:hRule="atLeast"/>
          <w:jc w:val="center"/>
        </w:trPr>
        <w:tc>
          <w:tcPr>
            <w:tcW w:w="1283" w:type="dxa"/>
            <w:tcBorders>
              <w:left w:val="single" w:color="auto" w:sz="12" w:space="0"/>
            </w:tcBorders>
            <w:vAlign w:val="center"/>
          </w:tcPr>
          <w:p>
            <w:pPr>
              <w:widowControl w:val="0"/>
              <w:snapToGrid w:val="0"/>
              <w:jc w:val="left"/>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eastAsia="zh-CN"/>
              </w:rPr>
              <w:t>热学</w:t>
            </w:r>
          </w:p>
        </w:tc>
        <w:tc>
          <w:tcPr>
            <w:tcW w:w="3765" w:type="dxa"/>
            <w:vMerge w:val="restart"/>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4、同伴教学法：利用一些引导学生深入探究的概念测试题等，引导学生参与教 学过程，变传统单一的讲授为基于剖析概念的自主学习和合作探究。 </w:t>
            </w:r>
          </w:p>
          <w:p>
            <w:pPr>
              <w:keepNext w:val="0"/>
              <w:keepLines w:val="0"/>
              <w:widowControl/>
              <w:suppressLineNumbers w:val="0"/>
              <w:jc w:val="left"/>
              <w:rPr>
                <w:rFonts w:hint="default" w:ascii="Times New Roman" w:hAnsi="Times New Roman" w:cs="Times New Roman"/>
                <w:bCs/>
                <w:sz w:val="21"/>
                <w:szCs w:val="21"/>
              </w:rPr>
            </w:pPr>
            <w:r>
              <w:rPr>
                <w:rFonts w:hint="default" w:ascii="Times New Roman" w:hAnsi="Times New Roman" w:eastAsia="宋体" w:cs="Times New Roman"/>
                <w:color w:val="000000"/>
                <w:kern w:val="0"/>
                <w:sz w:val="21"/>
                <w:szCs w:val="21"/>
                <w:lang w:val="en-US" w:eastAsia="zh-CN" w:bidi="ar"/>
              </w:rPr>
              <w:t>5、练习法：通过大量的例题讲解和课后习题的练习，使学生对教学大纲要求的 知识点快速掌握，同时掌握应用物理概念和基本定理解题的技巧。</w:t>
            </w:r>
          </w:p>
        </w:tc>
        <w:tc>
          <w:tcPr>
            <w:tcW w:w="1317" w:type="dxa"/>
            <w:vMerge w:val="restart"/>
            <w:vAlign w:val="center"/>
          </w:tcPr>
          <w:p>
            <w:pPr>
              <w:widowControl w:val="0"/>
              <w:snapToGrid w:val="0"/>
              <w:jc w:val="left"/>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期末考试</w:t>
            </w:r>
          </w:p>
          <w:p>
            <w:pPr>
              <w:widowControl w:val="0"/>
              <w:snapToGrid w:val="0"/>
              <w:jc w:val="left"/>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作业习题</w:t>
            </w:r>
          </w:p>
          <w:p>
            <w:pPr>
              <w:widowControl w:val="0"/>
              <w:snapToGrid w:val="0"/>
              <w:jc w:val="left"/>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课堂表现</w:t>
            </w:r>
          </w:p>
          <w:p>
            <w:pPr>
              <w:widowControl w:val="0"/>
              <w:snapToGrid w:val="0"/>
              <w:jc w:val="left"/>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调查报告</w:t>
            </w:r>
          </w:p>
          <w:p>
            <w:pPr>
              <w:widowControl w:val="0"/>
              <w:snapToGrid w:val="0"/>
              <w:jc w:val="left"/>
              <w:rPr>
                <w:rFonts w:hint="default" w:ascii="Times New Roman" w:hAnsi="Times New Roman" w:cs="Times New Roman"/>
                <w:bCs/>
                <w:sz w:val="21"/>
                <w:szCs w:val="21"/>
              </w:rPr>
            </w:pPr>
          </w:p>
        </w:tc>
        <w:tc>
          <w:tcPr>
            <w:tcW w:w="725" w:type="dxa"/>
            <w:vAlign w:val="center"/>
          </w:tcPr>
          <w:p>
            <w:pPr>
              <w:widowControl w:val="0"/>
              <w:snapToGrid w:val="0"/>
              <w:jc w:val="left"/>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12</w:t>
            </w:r>
          </w:p>
        </w:tc>
        <w:tc>
          <w:tcPr>
            <w:tcW w:w="669" w:type="dxa"/>
            <w:vAlign w:val="center"/>
          </w:tcPr>
          <w:p>
            <w:pPr>
              <w:widowControl w:val="0"/>
              <w:snapToGrid w:val="0"/>
              <w:jc w:val="left"/>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4</w:t>
            </w:r>
          </w:p>
        </w:tc>
        <w:tc>
          <w:tcPr>
            <w:tcW w:w="717" w:type="dxa"/>
            <w:tcBorders>
              <w:right w:val="single" w:color="auto" w:sz="12" w:space="0"/>
            </w:tcBorders>
            <w:vAlign w:val="center"/>
          </w:tcPr>
          <w:p>
            <w:pPr>
              <w:widowControl w:val="0"/>
              <w:snapToGrid w:val="0"/>
              <w:jc w:val="left"/>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r>
              <w:rPr>
                <w:rFonts w:hint="eastAsia" w:ascii="Times New Roman" w:hAnsi="Times New Roman" w:cs="Times New Roman"/>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283" w:type="dxa"/>
            <w:tcBorders>
              <w:left w:val="single" w:color="auto" w:sz="12" w:space="0"/>
            </w:tcBorders>
            <w:vAlign w:val="center"/>
          </w:tcPr>
          <w:p>
            <w:pPr>
              <w:widowControl w:val="0"/>
              <w:snapToGrid w:val="0"/>
              <w:jc w:val="left"/>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eastAsia="zh-CN"/>
              </w:rPr>
              <w:t>振动、波动、光学</w:t>
            </w:r>
          </w:p>
        </w:tc>
        <w:tc>
          <w:tcPr>
            <w:tcW w:w="3765" w:type="dxa"/>
            <w:vMerge w:val="continue"/>
            <w:vAlign w:val="center"/>
          </w:tcPr>
          <w:p>
            <w:pPr>
              <w:widowControl w:val="0"/>
              <w:snapToGrid w:val="0"/>
              <w:jc w:val="left"/>
              <w:rPr>
                <w:rFonts w:hint="default" w:ascii="Times New Roman" w:hAnsi="Times New Roman" w:cs="Times New Roman"/>
                <w:bCs/>
                <w:sz w:val="21"/>
                <w:szCs w:val="21"/>
              </w:rPr>
            </w:pPr>
          </w:p>
        </w:tc>
        <w:tc>
          <w:tcPr>
            <w:tcW w:w="1317" w:type="dxa"/>
            <w:vMerge w:val="continue"/>
            <w:vAlign w:val="center"/>
          </w:tcPr>
          <w:p>
            <w:pPr>
              <w:widowControl w:val="0"/>
              <w:snapToGrid w:val="0"/>
              <w:jc w:val="left"/>
              <w:rPr>
                <w:rFonts w:hint="default" w:ascii="Times New Roman" w:hAnsi="Times New Roman" w:cs="Times New Roman"/>
                <w:bCs/>
                <w:sz w:val="21"/>
                <w:szCs w:val="21"/>
              </w:rPr>
            </w:pPr>
          </w:p>
        </w:tc>
        <w:tc>
          <w:tcPr>
            <w:tcW w:w="725" w:type="dxa"/>
            <w:vAlign w:val="center"/>
          </w:tcPr>
          <w:p>
            <w:pPr>
              <w:widowControl w:val="0"/>
              <w:snapToGrid w:val="0"/>
              <w:jc w:val="left"/>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w:t>
            </w:r>
            <w:r>
              <w:rPr>
                <w:rFonts w:hint="eastAsia" w:ascii="Times New Roman" w:hAnsi="Times New Roman" w:cs="Times New Roman"/>
                <w:bCs/>
                <w:sz w:val="21"/>
                <w:szCs w:val="21"/>
                <w:lang w:val="en-US" w:eastAsia="zh-CN"/>
              </w:rPr>
              <w:t>6</w:t>
            </w:r>
          </w:p>
        </w:tc>
        <w:tc>
          <w:tcPr>
            <w:tcW w:w="669" w:type="dxa"/>
            <w:vAlign w:val="center"/>
          </w:tcPr>
          <w:p>
            <w:pPr>
              <w:widowControl w:val="0"/>
              <w:snapToGrid w:val="0"/>
              <w:jc w:val="left"/>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6</w:t>
            </w:r>
          </w:p>
        </w:tc>
        <w:tc>
          <w:tcPr>
            <w:tcW w:w="717" w:type="dxa"/>
            <w:tcBorders>
              <w:right w:val="single" w:color="auto" w:sz="12" w:space="0"/>
            </w:tcBorders>
            <w:vAlign w:val="center"/>
          </w:tcPr>
          <w:p>
            <w:pPr>
              <w:widowControl w:val="0"/>
              <w:snapToGrid w:val="0"/>
              <w:jc w:val="left"/>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jc w:val="center"/>
              <w:rPr>
                <w:rFonts w:hint="default" w:ascii="Times New Roman" w:hAnsi="Times New Roman" w:cs="Times New Roman"/>
              </w:rPr>
            </w:pPr>
            <w:r>
              <w:rPr>
                <w:rFonts w:hint="default" w:ascii="Times New Roman" w:hAnsi="Times New Roman" w:cs="Times New Roman"/>
              </w:rPr>
              <w:t>合计</w:t>
            </w:r>
          </w:p>
        </w:tc>
        <w:tc>
          <w:tcPr>
            <w:tcW w:w="725" w:type="dxa"/>
            <w:tcBorders>
              <w:bottom w:val="single" w:color="auto" w:sz="12" w:space="0"/>
            </w:tcBorders>
            <w:vAlign w:val="center"/>
          </w:tcPr>
          <w:p>
            <w:pPr>
              <w:widowControl w:val="0"/>
              <w:snapToGrid w:val="0"/>
              <w:jc w:val="left"/>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38</w:t>
            </w:r>
          </w:p>
        </w:tc>
        <w:tc>
          <w:tcPr>
            <w:tcW w:w="669" w:type="dxa"/>
            <w:tcBorders>
              <w:bottom w:val="single" w:color="auto" w:sz="12" w:space="0"/>
            </w:tcBorders>
            <w:vAlign w:val="center"/>
          </w:tcPr>
          <w:p>
            <w:pPr>
              <w:widowControl w:val="0"/>
              <w:snapToGrid w:val="0"/>
              <w:jc w:val="left"/>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10</w:t>
            </w:r>
          </w:p>
        </w:tc>
        <w:tc>
          <w:tcPr>
            <w:tcW w:w="717" w:type="dxa"/>
            <w:tcBorders>
              <w:bottom w:val="single" w:color="auto" w:sz="12" w:space="0"/>
              <w:right w:val="single" w:color="auto" w:sz="12" w:space="0"/>
            </w:tcBorders>
            <w:vAlign w:val="center"/>
          </w:tcPr>
          <w:p>
            <w:pPr>
              <w:widowControl w:val="0"/>
              <w:snapToGrid w:val="0"/>
              <w:jc w:val="left"/>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8</w:t>
            </w:r>
          </w:p>
        </w:tc>
      </w:tr>
    </w:tbl>
    <w:p>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543"/>
        <w:gridCol w:w="3400"/>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2543"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400"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半导体温度计的设计</w:t>
            </w:r>
          </w:p>
        </w:tc>
        <w:tc>
          <w:tcPr>
            <w:tcW w:w="3400" w:type="dxa"/>
            <w:tcBorders>
              <w:top w:val="single" w:color="auto" w:sz="4" w:space="0"/>
              <w:left w:val="single" w:color="auto" w:sz="4" w:space="0"/>
              <w:bottom w:val="single" w:color="auto" w:sz="4" w:space="0"/>
              <w:right w:val="single" w:color="auto" w:sz="4" w:space="0"/>
            </w:tcBorders>
            <w:vAlign w:val="center"/>
          </w:tcPr>
          <w:p>
            <w:pPr>
              <w:pStyle w:val="14"/>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设计半导体温度计，操作仿真系统进行半导体温度计的设计。</w:t>
            </w:r>
          </w:p>
        </w:tc>
        <w:tc>
          <w:tcPr>
            <w:tcW w:w="862" w:type="dxa"/>
            <w:tcBorders>
              <w:left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950" w:type="dxa"/>
            <w:tcBorders>
              <w:left w:val="single" w:color="auto" w:sz="4" w:space="0"/>
              <w:right w:val="single" w:color="auto" w:sz="12" w:space="0"/>
            </w:tcBorders>
            <w:shd w:val="clear" w:color="auto" w:fill="auto"/>
            <w:vAlign w:val="center"/>
          </w:tcPr>
          <w:p>
            <w:pPr>
              <w:pStyle w:val="1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光的等厚干涉</w:t>
            </w:r>
          </w:p>
        </w:tc>
        <w:tc>
          <w:tcPr>
            <w:tcW w:w="3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测量透镜的曲率半径， </w:t>
            </w:r>
            <w:r>
              <w:rPr>
                <w:rFonts w:hint="default" w:ascii="Times New Roman" w:hAnsi="Times New Roman" w:eastAsia="宋体" w:cs="Times New Roman"/>
                <w:sz w:val="21"/>
                <w:szCs w:val="21"/>
                <w:lang w:eastAsia="zh-CN"/>
              </w:rPr>
              <w:t>操作仿真系统运用干涉原理测量透镜的曲率半径。</w:t>
            </w:r>
          </w:p>
        </w:tc>
        <w:tc>
          <w:tcPr>
            <w:tcW w:w="862" w:type="dxa"/>
            <w:tcBorders>
              <w:left w:val="single" w:color="auto" w:sz="4" w:space="0"/>
              <w:bottom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950" w:type="dxa"/>
            <w:tcBorders>
              <w:left w:val="single" w:color="auto" w:sz="4" w:space="0"/>
              <w:bottom w:val="single" w:color="auto" w:sz="4" w:space="0"/>
              <w:right w:val="single" w:color="auto" w:sz="12" w:space="0"/>
            </w:tcBorders>
            <w:shd w:val="clear" w:color="auto" w:fill="auto"/>
            <w:vAlign w:val="center"/>
          </w:tcPr>
          <w:p>
            <w:pPr>
              <w:pStyle w:val="1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声速的测量</w:t>
            </w:r>
          </w:p>
        </w:tc>
        <w:tc>
          <w:tcPr>
            <w:tcW w:w="3400" w:type="dxa"/>
            <w:tcBorders>
              <w:top w:val="single" w:color="auto" w:sz="4" w:space="0"/>
              <w:left w:val="single" w:color="auto" w:sz="4" w:space="0"/>
              <w:bottom w:val="single" w:color="auto" w:sz="4" w:space="0"/>
              <w:right w:val="single" w:color="auto" w:sz="4" w:space="0"/>
            </w:tcBorders>
            <w:vAlign w:val="center"/>
          </w:tcPr>
          <w:p>
            <w:pPr>
              <w:pStyle w:val="14"/>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测量超声波的声速，操作仿真系统运用驻波法使用示波器测量超声波的速度。</w:t>
            </w:r>
          </w:p>
        </w:tc>
        <w:tc>
          <w:tcPr>
            <w:tcW w:w="862" w:type="dxa"/>
            <w:tcBorders>
              <w:left w:val="single" w:color="auto" w:sz="4" w:space="0"/>
              <w:right w:val="single" w:color="auto" w:sz="4" w:space="0"/>
            </w:tcBorders>
            <w:shd w:val="clear" w:color="auto" w:fill="auto"/>
            <w:vAlign w:val="center"/>
          </w:tcPr>
          <w:p>
            <w:pPr>
              <w:pStyle w:val="1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950" w:type="dxa"/>
            <w:tcBorders>
              <w:left w:val="single" w:color="auto" w:sz="4" w:space="0"/>
              <w:right w:val="single" w:color="auto" w:sz="12" w:space="0"/>
            </w:tcBorders>
            <w:shd w:val="clear" w:color="auto" w:fill="auto"/>
            <w:vAlign w:val="center"/>
          </w:tcPr>
          <w:p>
            <w:pPr>
              <w:pStyle w:val="1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1、使学生在学习物理学知识的同时,逐步建立正确的思想方法和研究方法,充分发挥本课程在培养学生辩证唯物主义世界观方面的作用,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default" w:ascii="Times New Roman" w:hAnsi="Times New Roman" w:cs="Times New Roman"/>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60</w:t>
            </w:r>
          </w:p>
        </w:tc>
        <w:tc>
          <w:tcPr>
            <w:tcW w:w="612" w:type="dxa"/>
            <w:vAlign w:val="center"/>
          </w:tcPr>
          <w:p>
            <w:pPr>
              <w:pStyle w:val="14"/>
              <w:widowControl w:val="0"/>
              <w:rPr>
                <w:rFonts w:hint="default" w:eastAsia="宋体"/>
                <w:lang w:val="en-US" w:eastAsia="zh-CN"/>
              </w:rPr>
            </w:pPr>
            <w:r>
              <w:rPr>
                <w:rFonts w:hint="eastAsia"/>
                <w:lang w:val="en-US" w:eastAsia="zh-CN"/>
              </w:rPr>
              <w:t>5</w:t>
            </w:r>
          </w:p>
        </w:tc>
        <w:tc>
          <w:tcPr>
            <w:tcW w:w="612" w:type="dxa"/>
            <w:vAlign w:val="center"/>
          </w:tcPr>
          <w:p>
            <w:pPr>
              <w:pStyle w:val="14"/>
              <w:widowControl w:val="0"/>
            </w:pPr>
            <w:r>
              <w:rPr>
                <w:rFonts w:hint="eastAsia"/>
                <w:lang w:val="en-US" w:eastAsia="zh-CN"/>
              </w:rPr>
              <w:t>30</w:t>
            </w:r>
          </w:p>
        </w:tc>
        <w:tc>
          <w:tcPr>
            <w:tcW w:w="612" w:type="dxa"/>
            <w:vAlign w:val="center"/>
          </w:tcPr>
          <w:p>
            <w:pPr>
              <w:pStyle w:val="14"/>
              <w:widowControl w:val="0"/>
              <w:rPr>
                <w:rFonts w:hint="eastAsia" w:eastAsia="宋体"/>
                <w:lang w:val="en-US" w:eastAsia="zh-CN"/>
              </w:rPr>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default"/>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default"/>
                <w:lang w:val="en-US" w:eastAsia="zh-CN"/>
              </w:rPr>
            </w:pPr>
            <w:r>
              <w:rPr>
                <w:rFonts w:hint="eastAsia"/>
                <w:lang w:val="en-US" w:eastAsia="zh-CN"/>
              </w:rPr>
              <w:t>实验报告</w:t>
            </w:r>
          </w:p>
        </w:tc>
        <w:tc>
          <w:tcPr>
            <w:tcW w:w="612" w:type="dxa"/>
            <w:tcBorders>
              <w:left w:val="double" w:color="auto" w:sz="4" w:space="0"/>
            </w:tcBorders>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6D035E"/>
    <w:rsid w:val="0A8128A6"/>
    <w:rsid w:val="0BF32A1B"/>
    <w:rsid w:val="0C747AF0"/>
    <w:rsid w:val="10BD2C22"/>
    <w:rsid w:val="12345D7B"/>
    <w:rsid w:val="1F3C4E81"/>
    <w:rsid w:val="213D28E2"/>
    <w:rsid w:val="22987C80"/>
    <w:rsid w:val="236773C3"/>
    <w:rsid w:val="24192CCC"/>
    <w:rsid w:val="24874793"/>
    <w:rsid w:val="28583E4D"/>
    <w:rsid w:val="2A1B63F2"/>
    <w:rsid w:val="2E1D7542"/>
    <w:rsid w:val="3061701B"/>
    <w:rsid w:val="320478DA"/>
    <w:rsid w:val="39404978"/>
    <w:rsid w:val="39A66CD4"/>
    <w:rsid w:val="3A111922"/>
    <w:rsid w:val="3BBA52A8"/>
    <w:rsid w:val="3C331B88"/>
    <w:rsid w:val="3C442294"/>
    <w:rsid w:val="3CD52CE1"/>
    <w:rsid w:val="410F2E6A"/>
    <w:rsid w:val="4430136C"/>
    <w:rsid w:val="45480B20"/>
    <w:rsid w:val="499476F8"/>
    <w:rsid w:val="4AB0382B"/>
    <w:rsid w:val="50DB3D9F"/>
    <w:rsid w:val="569868B5"/>
    <w:rsid w:val="5C7B084D"/>
    <w:rsid w:val="6071407C"/>
    <w:rsid w:val="60D659F2"/>
    <w:rsid w:val="611F6817"/>
    <w:rsid w:val="64E71501"/>
    <w:rsid w:val="66CA1754"/>
    <w:rsid w:val="680B2F59"/>
    <w:rsid w:val="6B1E4B6C"/>
    <w:rsid w:val="6CCD41D3"/>
    <w:rsid w:val="6DAD27AA"/>
    <w:rsid w:val="6DFA6436"/>
    <w:rsid w:val="6F1E65D4"/>
    <w:rsid w:val="6F266C86"/>
    <w:rsid w:val="6F5042C2"/>
    <w:rsid w:val="74316312"/>
    <w:rsid w:val="75885216"/>
    <w:rsid w:val="7614190F"/>
    <w:rsid w:val="761D0DE5"/>
    <w:rsid w:val="780F13C8"/>
    <w:rsid w:val="786D6A2C"/>
    <w:rsid w:val="7C385448"/>
    <w:rsid w:val="7CB3663D"/>
    <w:rsid w:val="7F471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3228</Words>
  <Characters>3339</Characters>
  <Lines>6</Lines>
  <Paragraphs>1</Paragraphs>
  <TotalTime>0</TotalTime>
  <ScaleCrop>false</ScaleCrop>
  <LinksUpToDate>false</LinksUpToDate>
  <CharactersWithSpaces>3378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2024-03-17T03:54:16Z</cp:lastPrinted>
  <dcterms:modified xsi:type="dcterms:W3CDTF">2024-03-17T03:54:37Z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FF6E2744D1504A6ABE2816739CA1FC21_13</vt:lpwstr>
  </property>
</Properties>
</file>