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6"/>
          <w:szCs w:val="6"/>
        </w:rPr>
      </w:pPr>
    </w:p>
    <w:p>
      <w:pPr>
        <w:jc w:val="center"/>
        <w:rPr>
          <w:sz w:val="6"/>
          <w:szCs w:val="6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上海建桥学院课程教学进度计划表</w:t>
      </w:r>
    </w:p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sz w:val="20"/>
                <w:szCs w:val="20"/>
              </w:rPr>
              <w:t>21000</w:t>
            </w: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察可文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  <w:r>
              <w:t>1083@gench.edu.cn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/>
              </w:rPr>
            </w:pP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机制B</w:t>
            </w:r>
            <w:r>
              <w:rPr>
                <w:rFonts w:cs="微软雅黑" w:asciiTheme="minorEastAsia" w:hAnsiTheme="minorEastAsia" w:eastAsiaTheme="minorEastAsia"/>
                <w:sz w:val="21"/>
                <w:szCs w:val="21"/>
              </w:rPr>
              <w:t>22-2</w:t>
            </w: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  <w:lang w:val="en-US" w:eastAsia="zh-CN"/>
              </w:rPr>
              <w:t>-</w:t>
            </w:r>
            <w:bookmarkStart w:id="0" w:name="_GoBack"/>
            <w:bookmarkEnd w:id="0"/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周三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(单)3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-4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节三教1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18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周五3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-4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节三教2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18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：线下：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周二6、7节，周三6、7节；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线上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：课程学习QQ群</w:t>
            </w:r>
            <w:r>
              <w:rPr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：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/>
              </w:rPr>
              <w:t>教育学院楼2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>35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/>
              </w:rPr>
              <w:t>数学教研室</w:t>
            </w:r>
          </w:p>
          <w:p>
            <w:pPr>
              <w:tabs>
                <w:tab w:val="left" w:pos="532"/>
              </w:tabs>
              <w:spacing w:line="340" w:lineRule="exact"/>
            </w:pPr>
            <w:r>
              <w:rPr>
                <w:rFonts w:cs="黑体" w:asciiTheme="minorEastAsia" w:hAnsiTheme="minorEastAsia" w:eastAsiaTheme="minorEastAsia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18353108897 </w:t>
            </w: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CN"/>
              </w:rPr>
              <w:t>邮箱：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1083@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gench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edu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cn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概率论与数理统计(第五版)浙江大学 盛骤 谢式千 潘承毅编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概率论与数理统计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教程(第六版)</w:t>
            </w:r>
            <w:r>
              <w:rPr>
                <w:rFonts w:ascii="宋体" w:hAnsi="宋体" w:eastAsia="MingLiU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沈恒范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、严钦容、沈侠编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</w:tbl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4961"/>
        <w:gridCol w:w="851"/>
        <w:gridCol w:w="21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1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第一章§</w:t>
            </w:r>
            <w:r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随机试验</w:t>
            </w:r>
          </w:p>
          <w:p>
            <w:pPr>
              <w:widowControl/>
              <w:ind w:firstLine="1050" w:firstLineChars="300"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§2样本空间、随机事件</w:t>
            </w:r>
          </w:p>
          <w:p>
            <w:pPr>
              <w:widowControl/>
              <w:ind w:firstLine="902" w:firstLineChars="303"/>
              <w:rPr>
                <w:rFonts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§3频率与概率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第一章§4 等可能概型(古典概率)</w:t>
            </w:r>
          </w:p>
          <w:p>
            <w:pPr>
              <w:widowControl/>
              <w:ind w:firstLine="962" w:firstLineChars="275"/>
              <w:rPr>
                <w:rFonts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§5 条件概率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第一章§6</w:t>
            </w: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独立性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章§1随机变量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§2离散型随机变量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及其分布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§3随机变量的分布函数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</w:t>
            </w:r>
          </w:p>
          <w:p>
            <w:pPr>
              <w:widowControl/>
              <w:ind w:firstLine="700" w:firstLineChars="2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§4连续型随机变量及其概率密度</w:t>
            </w:r>
          </w:p>
          <w:p>
            <w:pPr>
              <w:widowControl/>
              <w:ind w:firstLine="700" w:firstLineChars="2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§5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  <w:p>
            <w:pPr>
              <w:widowControl/>
              <w:ind w:firstLine="700" w:firstLineChars="2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第三章§1二维随机变量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§2边缘分布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§3条件分布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七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第三章§4相互独立的随机变量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§5两个随机变量的函数的分布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习题课（3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分钟）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期中测验（6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分钟）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章§1数学期望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§2方差和标准差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§3协方差和相关系数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§4矩、协方差矩阵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第五章§1大数定律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§2中心极限定理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第六章§1随机样本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§2直方图与箱线图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§3抽样分布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第七章§1点估计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§2基于截尾样本的最大似然估计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§3估计量的评选标准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第七章§4区间估计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§5正态总体均值和方差的区间估计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§7单侧置信区间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第八章§1假设检验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§2正态总体均值的假设检验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§3正态总体方差的假设检验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复习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</w:tr>
    </w:tbl>
    <w:p>
      <w:pPr>
        <w:spacing w:before="120" w:after="12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8"/>
        <w:tblW w:w="853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4962"/>
        <w:gridCol w:w="141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总评构成（</w:t>
            </w:r>
            <w:r>
              <w:rPr>
                <w:rFonts w:hint="eastAsia" w:cs="PMingLiU" w:asciiTheme="minorEastAsia" w:hAnsiTheme="minorEastAsia" w:eastAsiaTheme="minorEastAsia"/>
                <w:sz w:val="21"/>
                <w:szCs w:val="21"/>
                <w:lang w:val="zh-TW"/>
              </w:rPr>
              <w:t>1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+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期末考试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期中测验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平时表现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作业和练习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jc w:val="both"/>
        <w:outlineLvl w:val="0"/>
      </w:pP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任课老师：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察可文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CN"/>
        </w:rPr>
        <w:t xml:space="preserve"> </w:t>
      </w:r>
      <w:r>
        <w:rPr>
          <w:rFonts w:ascii="仿宋" w:hAnsi="仿宋" w:eastAsia="仿宋" w:cs="仿宋"/>
          <w:position w:val="-40"/>
          <w:sz w:val="28"/>
          <w:szCs w:val="28"/>
          <w:lang w:val="zh-CN"/>
        </w:rPr>
        <w:t xml:space="preserve">      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袁江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hAnsi="仿宋" w:eastAsia="仿宋" w:cs="仿宋"/>
          <w:position w:val="-40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2</w:t>
      </w:r>
      <w:r>
        <w:rPr>
          <w:rFonts w:ascii="仿宋" w:hAnsi="仿宋" w:eastAsia="仿宋" w:cs="仿宋"/>
          <w:position w:val="-40"/>
          <w:sz w:val="28"/>
          <w:szCs w:val="28"/>
        </w:rPr>
        <w:t>3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/</w:t>
      </w:r>
      <w:r>
        <w:rPr>
          <w:rFonts w:ascii="仿宋" w:hAnsi="仿宋" w:eastAsia="仿宋" w:cs="仿宋"/>
          <w:position w:val="-40"/>
          <w:sz w:val="28"/>
          <w:szCs w:val="28"/>
        </w:rPr>
        <w:t>9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/</w:t>
      </w:r>
      <w:r>
        <w:rPr>
          <w:rFonts w:ascii="仿宋" w:hAnsi="仿宋" w:eastAsia="仿宋" w:cs="仿宋"/>
          <w:position w:val="-40"/>
          <w:sz w:val="28"/>
          <w:szCs w:val="28"/>
        </w:rPr>
        <w:t>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283" w:gutter="0"/>
      <w:pgNumType w:start="1"/>
      <w:cols w:space="720" w:num="1"/>
      <w:docGrid w:linePitch="2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250040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before="120" w:after="12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/>
      <w:ind w:firstLine="80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0" b="0"/>
              <wp:wrapNone/>
              <wp:docPr id="1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EI6VNcAAAAJAQAADwAAAAAAAAABACAAAAAiAAAAZHJzL2Rvd25yZXYueG1s&#10;UEsBAhQAFAAAAAgAh07iQGdY+t4yAgAAVwQAAA4AAAAAAAAAAQAgAAAAJgEAAGRycy9lMm9Eb2Mu&#10;eG1sUEsFBgAAAAAGAAYAWQEAAMoFAAAAAA==&#10;">
              <v:fill on="t" focussize="0,0"/>
              <v:stroke on="f"/>
              <v:imagedata o:title=""/>
              <o:lock v:ext="edit" aspectratio="f"/>
              <v:textbox inset="1.27mm,1.27mm,1.27mm,1.27mm">
                <w:txbxContent>
                  <w:p>
                    <w:r>
                      <w:rPr>
                        <w:rFonts w:ascii="宋体" w:hAnsi="宋体" w:eastAsia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-1"/>
                      </w:rPr>
                      <w:t>A0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hYWExMGE5NzM4ZmE1Njc0NzhlODk2Mzc2ZjVhYTMifQ=="/>
  </w:docVars>
  <w:rsids>
    <w:rsidRoot w:val="000F2700"/>
    <w:rsid w:val="00013B67"/>
    <w:rsid w:val="000916CD"/>
    <w:rsid w:val="000B2458"/>
    <w:rsid w:val="000F2700"/>
    <w:rsid w:val="0011624D"/>
    <w:rsid w:val="00217F4C"/>
    <w:rsid w:val="003228A5"/>
    <w:rsid w:val="00356DA4"/>
    <w:rsid w:val="00372789"/>
    <w:rsid w:val="003B00FC"/>
    <w:rsid w:val="00401ED1"/>
    <w:rsid w:val="004B796D"/>
    <w:rsid w:val="004E26C0"/>
    <w:rsid w:val="004F5BAF"/>
    <w:rsid w:val="00505672"/>
    <w:rsid w:val="00523FE4"/>
    <w:rsid w:val="00580C35"/>
    <w:rsid w:val="005A0F4C"/>
    <w:rsid w:val="005A506A"/>
    <w:rsid w:val="0066463E"/>
    <w:rsid w:val="0068192A"/>
    <w:rsid w:val="006B35B7"/>
    <w:rsid w:val="007348F5"/>
    <w:rsid w:val="007567EA"/>
    <w:rsid w:val="007A3D5C"/>
    <w:rsid w:val="007B035F"/>
    <w:rsid w:val="008123A8"/>
    <w:rsid w:val="008317FE"/>
    <w:rsid w:val="008D653F"/>
    <w:rsid w:val="00922DA7"/>
    <w:rsid w:val="009236BA"/>
    <w:rsid w:val="00940FDB"/>
    <w:rsid w:val="009453E3"/>
    <w:rsid w:val="00972031"/>
    <w:rsid w:val="00981A1B"/>
    <w:rsid w:val="00A07892"/>
    <w:rsid w:val="00A26842"/>
    <w:rsid w:val="00A3276B"/>
    <w:rsid w:val="00A60E25"/>
    <w:rsid w:val="00AD7520"/>
    <w:rsid w:val="00B12968"/>
    <w:rsid w:val="00B178C4"/>
    <w:rsid w:val="00B3116C"/>
    <w:rsid w:val="00B3313C"/>
    <w:rsid w:val="00B409B1"/>
    <w:rsid w:val="00BD3007"/>
    <w:rsid w:val="00BD48CB"/>
    <w:rsid w:val="00BE0744"/>
    <w:rsid w:val="00C543B3"/>
    <w:rsid w:val="00CA38FF"/>
    <w:rsid w:val="00CA3EB2"/>
    <w:rsid w:val="00CB3067"/>
    <w:rsid w:val="00CB57F0"/>
    <w:rsid w:val="00E03A79"/>
    <w:rsid w:val="00E17269"/>
    <w:rsid w:val="00E21960"/>
    <w:rsid w:val="00E609A2"/>
    <w:rsid w:val="00E716F2"/>
    <w:rsid w:val="00E85D81"/>
    <w:rsid w:val="00EE107E"/>
    <w:rsid w:val="00EE7BC2"/>
    <w:rsid w:val="00F03F14"/>
    <w:rsid w:val="00F06438"/>
    <w:rsid w:val="00F67C10"/>
    <w:rsid w:val="00F90510"/>
    <w:rsid w:val="21C870A6"/>
    <w:rsid w:val="5A5B3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link w:val="10"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laceholder Text"/>
    <w:basedOn w:val="6"/>
    <w:semiHidden/>
    <w:uiPriority w:val="99"/>
    <w:rPr>
      <w:color w:val="808080"/>
    </w:rPr>
  </w:style>
  <w:style w:type="character" w:customStyle="1" w:styleId="10">
    <w:name w:val="页脚 字符"/>
    <w:basedOn w:val="6"/>
    <w:link w:val="3"/>
    <w:uiPriority w:val="99"/>
    <w:rPr>
      <w:rFonts w:ascii="Arial Unicode MS" w:hAnsi="Arial Unicode MS" w:eastAsia="Arial Unicode MS" w:cs="Arial Unicode MS"/>
      <w:color w:val="000000"/>
      <w:kern w:val="2"/>
      <w:u w:color="000000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1072</Characters>
  <Lines>8</Lines>
  <Paragraphs>2</Paragraphs>
  <TotalTime>3</TotalTime>
  <ScaleCrop>false</ScaleCrop>
  <LinksUpToDate>false</LinksUpToDate>
  <CharactersWithSpaces>1257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2023-09-02T03:47:00Z</dcterms:created>
  <dc:creator>ckw</dc:creator>
  <cp:lastModifiedBy>山东-蓝天</cp:lastModifiedBy>
  <cp:lastPrinted>2023-09-02T03:43:00Z</cp:lastPrinted>
  <dcterms:modified xsi:type="dcterms:W3CDTF">2023-09-13T07:59:13Z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333EF461FC7D4AFAA6492C610372B2B4_13</vt:lpwstr>
  </property>
</Properties>
</file>