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0A8AB7">
      <w:pPr>
        <w:jc w:val="center"/>
        <w:rPr>
          <w:rFonts w:ascii="黑体" w:hAnsi="黑体" w:eastAsia="黑体"/>
          <w:bCs/>
          <w:sz w:val="32"/>
          <w:szCs w:val="32"/>
        </w:rPr>
      </w:pPr>
      <w:r>
        <w:rPr>
          <w:rFonts w:hint="eastAsia" w:ascii="黑体" w:hAnsi="黑体" w:eastAsia="黑体"/>
          <w:bCs/>
          <w:sz w:val="32"/>
          <w:szCs w:val="32"/>
        </w:rPr>
        <w:t>《教育政策与法规》本科课程教学大纲</w:t>
      </w:r>
    </w:p>
    <w:p w14:paraId="0B527AB8">
      <w:pPr>
        <w:pStyle w:val="16"/>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041D6C7">
        <w:trPr>
          <w:trHeight w:val="340" w:hRule="atLeast"/>
        </w:trPr>
        <w:tc>
          <w:tcPr>
            <w:tcW w:w="1691" w:type="dxa"/>
            <w:vMerge w:val="restart"/>
            <w:tcBorders>
              <w:top w:val="single" w:color="auto" w:sz="12" w:space="0"/>
              <w:left w:val="single" w:color="auto" w:sz="12" w:space="0"/>
            </w:tcBorders>
            <w:shd w:val="clear" w:color="auto" w:fill="auto"/>
            <w:vAlign w:val="center"/>
          </w:tcPr>
          <w:p w14:paraId="7E72C87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F1D247A">
            <w:pPr>
              <w:widowControl w:val="0"/>
              <w:jc w:val="left"/>
              <w:rPr>
                <w:rFonts w:hint="default" w:eastAsia="黑体"/>
                <w:color w:val="000000" w:themeColor="text1"/>
                <w:sz w:val="21"/>
                <w:szCs w:val="21"/>
                <w:lang w:val="en-US" w:eastAsia="zh-CN"/>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（中文）</w:t>
            </w:r>
            <w:r>
              <w:rPr>
                <w:rFonts w:hint="eastAsia"/>
                <w:color w:val="000000" w:themeColor="text1"/>
                <w:sz w:val="21"/>
                <w:szCs w:val="21"/>
                <w:lang w:val="en-US" w:eastAsia="zh-CN"/>
                <w14:textFill>
                  <w14:solidFill>
                    <w14:schemeClr w14:val="tx1"/>
                  </w14:solidFill>
                </w14:textFill>
              </w:rPr>
              <w:t>教育政策与法规</w:t>
            </w:r>
          </w:p>
        </w:tc>
      </w:tr>
      <w:tr w14:paraId="62C83F70">
        <w:trPr>
          <w:trHeight w:val="340" w:hRule="atLeast"/>
        </w:trPr>
        <w:tc>
          <w:tcPr>
            <w:tcW w:w="1691" w:type="dxa"/>
            <w:vMerge w:val="continue"/>
            <w:tcBorders>
              <w:left w:val="single" w:color="auto" w:sz="12" w:space="0"/>
            </w:tcBorders>
            <w:shd w:val="clear" w:color="auto" w:fill="auto"/>
            <w:vAlign w:val="center"/>
          </w:tcPr>
          <w:p w14:paraId="273F580B">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5F89D92D">
            <w:pPr>
              <w:widowControl w:val="0"/>
              <w:jc w:val="left"/>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（英文）</w:t>
            </w:r>
            <w:r>
              <w:rPr>
                <w:rFonts w:hint="eastAsia"/>
                <w:color w:val="000000" w:themeColor="text1"/>
                <w:sz w:val="21"/>
                <w:szCs w:val="21"/>
                <w:lang w:val="en-US" w:eastAsia="zh-CN"/>
                <w14:textFill>
                  <w14:solidFill>
                    <w14:schemeClr w14:val="tx1"/>
                  </w14:solidFill>
                </w14:textFill>
              </w:rPr>
              <w:t>Educational Policy and Regulation</w:t>
            </w:r>
          </w:p>
        </w:tc>
      </w:tr>
      <w:tr w14:paraId="26E26DE3">
        <w:trPr>
          <w:trHeight w:val="340" w:hRule="atLeast"/>
        </w:trPr>
        <w:tc>
          <w:tcPr>
            <w:tcW w:w="1691" w:type="dxa"/>
            <w:tcBorders>
              <w:left w:val="single" w:color="auto" w:sz="12" w:space="0"/>
            </w:tcBorders>
            <w:shd w:val="clear" w:color="auto" w:fill="auto"/>
            <w:vAlign w:val="center"/>
          </w:tcPr>
          <w:p w14:paraId="5E1CD95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504599B6">
            <w:pPr>
              <w:widowControl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2130010</w:t>
            </w:r>
          </w:p>
        </w:tc>
        <w:tc>
          <w:tcPr>
            <w:tcW w:w="2126" w:type="dxa"/>
            <w:gridSpan w:val="2"/>
            <w:vAlign w:val="center"/>
          </w:tcPr>
          <w:p w14:paraId="5E9C2F1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D845974">
            <w:pPr>
              <w:widowControl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14:paraId="33B4B8C1">
        <w:trPr>
          <w:trHeight w:val="340" w:hRule="atLeast"/>
        </w:trPr>
        <w:tc>
          <w:tcPr>
            <w:tcW w:w="1691" w:type="dxa"/>
            <w:tcBorders>
              <w:left w:val="single" w:color="auto" w:sz="12" w:space="0"/>
            </w:tcBorders>
            <w:shd w:val="clear" w:color="auto" w:fill="auto"/>
            <w:vAlign w:val="center"/>
          </w:tcPr>
          <w:p w14:paraId="643FA495">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6A2C57A2">
            <w:pPr>
              <w:widowControl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1272" w:type="dxa"/>
            <w:vAlign w:val="center"/>
          </w:tcPr>
          <w:p w14:paraId="780F11CF">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59524C1">
            <w:pPr>
              <w:widowControl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1413" w:type="dxa"/>
            <w:gridSpan w:val="2"/>
            <w:vAlign w:val="center"/>
          </w:tcPr>
          <w:p w14:paraId="6BBEC8C6">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1E6AB244">
            <w:pPr>
              <w:widowControl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0E66932A">
        <w:trPr>
          <w:trHeight w:val="340" w:hRule="atLeast"/>
        </w:trPr>
        <w:tc>
          <w:tcPr>
            <w:tcW w:w="1691" w:type="dxa"/>
            <w:tcBorders>
              <w:left w:val="single" w:color="auto" w:sz="12" w:space="0"/>
            </w:tcBorders>
            <w:shd w:val="clear" w:color="auto" w:fill="auto"/>
            <w:vAlign w:val="center"/>
          </w:tcPr>
          <w:p w14:paraId="65ED49E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338B8E7">
            <w:pPr>
              <w:widowControl w:val="0"/>
              <w:jc w:val="center"/>
              <w:rPr>
                <w:rFonts w:hint="default" w:ascii="黑体" w:hAnsi="黑体" w:eastAsia="黑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教育学院</w:t>
            </w:r>
          </w:p>
        </w:tc>
        <w:tc>
          <w:tcPr>
            <w:tcW w:w="2126" w:type="dxa"/>
            <w:gridSpan w:val="2"/>
            <w:vAlign w:val="center"/>
          </w:tcPr>
          <w:p w14:paraId="00BA271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63006F00">
            <w:pPr>
              <w:widowControl w:val="0"/>
              <w:jc w:val="center"/>
              <w:rPr>
                <w:rFonts w:hint="default" w:eastAsia="宋体"/>
                <w:color w:val="000000" w:themeColor="text1"/>
                <w:sz w:val="21"/>
                <w:szCs w:val="21"/>
                <w:lang w:val="en-US" w:eastAsia="zh-CN"/>
                <w14:textFill>
                  <w14:solidFill>
                    <w14:schemeClr w14:val="tx1"/>
                  </w14:solidFill>
                </w14:textFill>
              </w:rPr>
            </w:pPr>
            <w:r>
              <w:rPr>
                <w:rFonts w:hint="default" w:ascii="黑体" w:hAnsi="黑体" w:eastAsia="黑体"/>
                <w:color w:val="000000" w:themeColor="text1"/>
                <w:sz w:val="21"/>
                <w:szCs w:val="21"/>
                <w:lang w:val="en-US" w:eastAsia="zh-CN"/>
                <w14:textFill>
                  <w14:solidFill>
                    <w14:schemeClr w14:val="tx1"/>
                  </w14:solidFill>
                </w14:textFill>
              </w:rPr>
              <w:t>学前教育</w:t>
            </w:r>
            <w:r>
              <w:rPr>
                <w:rFonts w:hint="eastAsia" w:ascii="黑体" w:hAnsi="黑体" w:eastAsia="黑体"/>
                <w:color w:val="000000" w:themeColor="text1"/>
                <w:sz w:val="21"/>
                <w:szCs w:val="21"/>
                <w:lang w:val="en-US" w:eastAsia="zh-CN"/>
                <w14:textFill>
                  <w14:solidFill>
                    <w14:schemeClr w14:val="tx1"/>
                  </w14:solidFill>
                </w14:textFill>
              </w:rPr>
              <w:t>2022级</w:t>
            </w:r>
          </w:p>
        </w:tc>
      </w:tr>
      <w:tr w14:paraId="646659E0">
        <w:trPr>
          <w:trHeight w:val="340" w:hRule="atLeast"/>
        </w:trPr>
        <w:tc>
          <w:tcPr>
            <w:tcW w:w="1691" w:type="dxa"/>
            <w:tcBorders>
              <w:left w:val="single" w:color="auto" w:sz="12" w:space="0"/>
            </w:tcBorders>
            <w:shd w:val="clear" w:color="auto" w:fill="auto"/>
            <w:vAlign w:val="center"/>
          </w:tcPr>
          <w:p w14:paraId="105A16F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BADA8F4">
            <w:pPr>
              <w:widowControl w:val="0"/>
              <w:jc w:val="center"/>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专业基础选修课</w:t>
            </w:r>
          </w:p>
        </w:tc>
        <w:tc>
          <w:tcPr>
            <w:tcW w:w="2126" w:type="dxa"/>
            <w:gridSpan w:val="2"/>
            <w:vAlign w:val="center"/>
          </w:tcPr>
          <w:p w14:paraId="0EC8D59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EDEC1D2">
            <w:pPr>
              <w:widowControl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考查</w:t>
            </w:r>
          </w:p>
        </w:tc>
      </w:tr>
      <w:tr w14:paraId="5A12E83D">
        <w:trPr>
          <w:trHeight w:val="340" w:hRule="atLeast"/>
        </w:trPr>
        <w:tc>
          <w:tcPr>
            <w:tcW w:w="1691" w:type="dxa"/>
            <w:tcBorders>
              <w:left w:val="single" w:color="auto" w:sz="12" w:space="0"/>
            </w:tcBorders>
            <w:shd w:val="clear" w:color="auto" w:fill="auto"/>
            <w:vAlign w:val="center"/>
          </w:tcPr>
          <w:p w14:paraId="4634070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C1FED2F">
            <w:pPr>
              <w:widowControl w:val="0"/>
              <w:snapToGrid w:val="0"/>
              <w:spacing w:line="288" w:lineRule="auto"/>
              <w:jc w:val="both"/>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《学前教育政策与法规》周小虎，中国人民大学出版社，2022年3月第2版</w:t>
            </w:r>
          </w:p>
        </w:tc>
        <w:tc>
          <w:tcPr>
            <w:tcW w:w="1413" w:type="dxa"/>
            <w:gridSpan w:val="2"/>
            <w:vAlign w:val="center"/>
          </w:tcPr>
          <w:p w14:paraId="7F1E4C7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268CE4B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668682F">
            <w:pPr>
              <w:widowControl w:val="0"/>
              <w:ind w:left="120" w:leftChars="50"/>
              <w:jc w:val="left"/>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否</w:t>
            </w:r>
          </w:p>
        </w:tc>
      </w:tr>
      <w:tr w14:paraId="1CAA5A27">
        <w:trPr>
          <w:trHeight w:val="372" w:hRule="atLeast"/>
        </w:trPr>
        <w:tc>
          <w:tcPr>
            <w:tcW w:w="1691" w:type="dxa"/>
            <w:tcBorders>
              <w:left w:val="single" w:color="auto" w:sz="12" w:space="0"/>
            </w:tcBorders>
            <w:shd w:val="clear" w:color="auto" w:fill="auto"/>
            <w:vAlign w:val="center"/>
          </w:tcPr>
          <w:p w14:paraId="1FE3F6F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DC2D8BB">
            <w:pPr>
              <w:pStyle w:val="14"/>
              <w:widowControl w:val="0"/>
              <w:jc w:val="both"/>
              <w:rPr>
                <w:rFonts w:hint="default" w:eastAsia="宋体"/>
                <w:lang w:val="en-US" w:eastAsia="zh-CN"/>
              </w:rPr>
            </w:pPr>
            <w:r>
              <w:rPr>
                <w:rFonts w:hint="eastAsia"/>
                <w:color w:val="auto"/>
                <w:sz w:val="20"/>
                <w:szCs w:val="20"/>
                <w:lang w:val="en-US" w:eastAsia="zh-CN"/>
              </w:rPr>
              <w:t>学前教育学2130014（2）</w:t>
            </w:r>
          </w:p>
        </w:tc>
      </w:tr>
      <w:tr w14:paraId="08EE2584">
        <w:trPr>
          <w:trHeight w:val="3912" w:hRule="atLeast"/>
        </w:trPr>
        <w:tc>
          <w:tcPr>
            <w:tcW w:w="1691" w:type="dxa"/>
            <w:tcBorders>
              <w:left w:val="single" w:color="auto" w:sz="12" w:space="0"/>
            </w:tcBorders>
            <w:shd w:val="clear" w:color="auto" w:fill="auto"/>
            <w:vAlign w:val="center"/>
          </w:tcPr>
          <w:p w14:paraId="4782BCF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EFBA0BA">
            <w:pPr>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right="0" w:rightChars="0" w:firstLine="400" w:firstLineChars="200"/>
              <w:jc w:val="both"/>
              <w:textAlignment w:val="auto"/>
              <w:outlineLvl w:val="9"/>
            </w:pPr>
            <w:r>
              <w:rPr>
                <w:rFonts w:hint="eastAsia"/>
                <w:color w:val="000000"/>
                <w:sz w:val="20"/>
                <w:szCs w:val="20"/>
              </w:rPr>
              <w:t>《教育政策与法规》是研究教育政策和法规的理论和应用的基础课程，是</w:t>
            </w:r>
            <w:r>
              <w:rPr>
                <w:color w:val="000000"/>
                <w:sz w:val="20"/>
                <w:szCs w:val="20"/>
              </w:rPr>
              <w:t>学前教育专业</w:t>
            </w:r>
            <w:r>
              <w:rPr>
                <w:rFonts w:hint="eastAsia"/>
                <w:color w:val="000000"/>
                <w:sz w:val="20"/>
                <w:szCs w:val="20"/>
              </w:rPr>
              <w:t>本科</w:t>
            </w:r>
            <w:r>
              <w:rPr>
                <w:color w:val="000000"/>
                <w:sz w:val="20"/>
                <w:szCs w:val="20"/>
              </w:rPr>
              <w:t>生的一门</w:t>
            </w:r>
            <w:r>
              <w:rPr>
                <w:rFonts w:hint="eastAsia"/>
                <w:color w:val="000000"/>
                <w:sz w:val="20"/>
                <w:szCs w:val="20"/>
              </w:rPr>
              <w:t>院级</w:t>
            </w:r>
            <w:r>
              <w:rPr>
                <w:color w:val="000000"/>
                <w:sz w:val="20"/>
                <w:szCs w:val="20"/>
              </w:rPr>
              <w:t>选修课</w:t>
            </w:r>
            <w:r>
              <w:rPr>
                <w:rFonts w:hint="eastAsia"/>
                <w:color w:val="000000"/>
                <w:sz w:val="20"/>
                <w:szCs w:val="20"/>
              </w:rPr>
              <w:t>。</w:t>
            </w:r>
            <w:r>
              <w:rPr>
                <w:rFonts w:hint="eastAsia"/>
                <w:color w:val="000000"/>
                <w:sz w:val="20"/>
                <w:szCs w:val="20"/>
                <w:lang w:val="en-US" w:eastAsia="zh-CN"/>
              </w:rPr>
              <w:t>本门课程</w:t>
            </w:r>
            <w:r>
              <w:rPr>
                <w:rFonts w:hint="eastAsia"/>
                <w:color w:val="000000"/>
                <w:sz w:val="20"/>
                <w:szCs w:val="20"/>
              </w:rPr>
              <w:t>主要讲授教育政策</w:t>
            </w:r>
            <w:r>
              <w:rPr>
                <w:rFonts w:hint="eastAsia"/>
                <w:color w:val="000000"/>
                <w:sz w:val="20"/>
                <w:szCs w:val="20"/>
                <w:lang w:val="en-US" w:eastAsia="zh-CN"/>
              </w:rPr>
              <w:t>和</w:t>
            </w:r>
            <w:r>
              <w:rPr>
                <w:rFonts w:hint="eastAsia"/>
                <w:color w:val="000000"/>
                <w:sz w:val="20"/>
                <w:szCs w:val="20"/>
              </w:rPr>
              <w:t>教育法规概述</w:t>
            </w:r>
            <w:r>
              <w:rPr>
                <w:rFonts w:hint="eastAsia"/>
                <w:color w:val="000000"/>
                <w:sz w:val="20"/>
                <w:szCs w:val="20"/>
                <w:lang w:eastAsia="zh-CN"/>
              </w:rPr>
              <w:t>、</w:t>
            </w:r>
            <w:r>
              <w:rPr>
                <w:rFonts w:hint="eastAsia"/>
                <w:color w:val="000000"/>
                <w:sz w:val="20"/>
                <w:szCs w:val="20"/>
                <w:lang w:val="en-US" w:eastAsia="zh-CN"/>
              </w:rPr>
              <w:t>儿童权利与保护、学前教育的政府职责与管理、幼儿园的法律地位，设立与运行、幼儿园的保育与教育、幼儿教师的权力与义务，幼儿园工作人员的资质与职责等。</w:t>
            </w:r>
            <w:r>
              <w:rPr>
                <w:color w:val="000000"/>
                <w:sz w:val="20"/>
                <w:szCs w:val="20"/>
              </w:rPr>
              <w:t>在已开设的</w:t>
            </w:r>
            <w:r>
              <w:rPr>
                <w:rFonts w:hint="eastAsia"/>
                <w:color w:val="auto"/>
                <w:sz w:val="20"/>
                <w:szCs w:val="20"/>
                <w:lang w:val="en-US" w:eastAsia="zh-CN"/>
              </w:rPr>
              <w:t>学前教育学</w:t>
            </w:r>
            <w:r>
              <w:rPr>
                <w:color w:val="000000"/>
                <w:sz w:val="20"/>
                <w:szCs w:val="20"/>
              </w:rPr>
              <w:t>课程的基础之上，旨在</w:t>
            </w:r>
            <w:r>
              <w:rPr>
                <w:rFonts w:hint="eastAsia"/>
                <w:color w:val="000000"/>
                <w:sz w:val="20"/>
                <w:szCs w:val="20"/>
              </w:rPr>
              <w:t>学生通过本课程的学习，能够比较系统地掌握、理解现行教育政策、法规及基本理论知识，学会初步运用法律武器解决</w:t>
            </w:r>
            <w:r>
              <w:rPr>
                <w:rFonts w:hint="eastAsia"/>
                <w:color w:val="000000"/>
                <w:sz w:val="20"/>
                <w:szCs w:val="20"/>
                <w:lang w:val="en-US" w:eastAsia="zh-CN"/>
              </w:rPr>
              <w:t>幼儿</w:t>
            </w:r>
            <w:r>
              <w:rPr>
                <w:rFonts w:hint="eastAsia"/>
                <w:color w:val="000000"/>
                <w:sz w:val="20"/>
                <w:szCs w:val="20"/>
              </w:rPr>
              <w:t>教育活动中出现的法律问题，提高依法执教的能力，用法律的方式维护</w:t>
            </w:r>
            <w:r>
              <w:rPr>
                <w:rFonts w:hint="eastAsia"/>
                <w:color w:val="000000"/>
                <w:sz w:val="20"/>
                <w:szCs w:val="20"/>
                <w:lang w:val="en-US" w:eastAsia="zh-CN"/>
              </w:rPr>
              <w:t>幼儿</w:t>
            </w:r>
            <w:r>
              <w:rPr>
                <w:rFonts w:hint="eastAsia"/>
                <w:color w:val="000000"/>
                <w:sz w:val="20"/>
                <w:szCs w:val="20"/>
              </w:rPr>
              <w:t>和自己的合法权益，为依法治教奠定基础。</w:t>
            </w:r>
            <w:r>
              <w:rPr>
                <w:rFonts w:hint="eastAsia"/>
                <w:color w:val="000000"/>
                <w:sz w:val="20"/>
                <w:szCs w:val="20"/>
                <w:lang w:val="en-US" w:eastAsia="zh-CN"/>
              </w:rPr>
              <w:t>学前教育政策与法规</w:t>
            </w:r>
            <w:r>
              <w:rPr>
                <w:rFonts w:hint="eastAsia"/>
                <w:color w:val="000000"/>
                <w:sz w:val="20"/>
                <w:szCs w:val="20"/>
              </w:rPr>
              <w:t>的学习重在理论分析，它是研究和发展本专业的重要工具，同时注重培养学生解决实际问题的能力。</w:t>
            </w:r>
            <w:r>
              <w:rPr>
                <w:rFonts w:hint="eastAsia"/>
                <w:color w:val="000000"/>
                <w:sz w:val="20"/>
                <w:szCs w:val="20"/>
                <w:lang w:val="en-US" w:eastAsia="zh-CN"/>
              </w:rPr>
              <w:t>由于学前教育政策与法规是不断更新和完善的，因此学习者在学习本课程内容之外，需要积极关注新近颁发的各种政策与法规。</w:t>
            </w:r>
          </w:p>
        </w:tc>
      </w:tr>
      <w:tr w14:paraId="6D860A4F">
        <w:trPr>
          <w:trHeight w:val="1037" w:hRule="atLeast"/>
        </w:trPr>
        <w:tc>
          <w:tcPr>
            <w:tcW w:w="1691" w:type="dxa"/>
            <w:tcBorders>
              <w:left w:val="single" w:color="auto" w:sz="12" w:space="0"/>
              <w:bottom w:val="double" w:color="auto" w:sz="4" w:space="0"/>
            </w:tcBorders>
            <w:shd w:val="clear" w:color="auto" w:fill="auto"/>
            <w:vAlign w:val="center"/>
          </w:tcPr>
          <w:p w14:paraId="748876F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000057B">
            <w:pPr>
              <w:widowControl w:val="0"/>
              <w:snapToGrid w:val="0"/>
              <w:spacing w:line="288" w:lineRule="auto"/>
              <w:ind w:firstLine="400" w:firstLineChars="200"/>
              <w:jc w:val="both"/>
            </w:pPr>
            <w:r>
              <w:rPr>
                <w:rFonts w:hint="eastAsia"/>
                <w:color w:val="000000"/>
                <w:sz w:val="20"/>
                <w:szCs w:val="20"/>
              </w:rPr>
              <w:t xml:space="preserve"> 该课程是学前教育专业选修课程</w:t>
            </w:r>
            <w:r>
              <w:rPr>
                <w:rFonts w:hint="eastAsia"/>
                <w:color w:val="000000"/>
                <w:sz w:val="20"/>
                <w:szCs w:val="20"/>
                <w:lang w:eastAsia="zh-CN"/>
              </w:rPr>
              <w:t>。</w:t>
            </w:r>
            <w:r>
              <w:rPr>
                <w:rFonts w:hint="eastAsia"/>
                <w:color w:val="000000"/>
                <w:sz w:val="20"/>
                <w:szCs w:val="20"/>
              </w:rPr>
              <w:t>学生</w:t>
            </w:r>
            <w:r>
              <w:rPr>
                <w:rFonts w:hint="eastAsia"/>
                <w:color w:val="000000"/>
                <w:sz w:val="20"/>
                <w:szCs w:val="20"/>
                <w:lang w:val="en-US" w:eastAsia="zh-CN"/>
              </w:rPr>
              <w:t>应对学前</w:t>
            </w:r>
            <w:r>
              <w:rPr>
                <w:rFonts w:hint="eastAsia"/>
                <w:color w:val="000000"/>
                <w:sz w:val="20"/>
                <w:szCs w:val="20"/>
              </w:rPr>
              <w:t>教育现象的基础知识有一定的了解，具有一定的阅读能力、辩证的思维方法，同时应具备一定的自主学习能力。</w:t>
            </w:r>
          </w:p>
        </w:tc>
      </w:tr>
      <w:tr w14:paraId="48FC7B72">
        <w:trPr>
          <w:trHeight w:val="510" w:hRule="atLeast"/>
        </w:trPr>
        <w:tc>
          <w:tcPr>
            <w:tcW w:w="1691" w:type="dxa"/>
            <w:tcBorders>
              <w:top w:val="double" w:color="auto" w:sz="4" w:space="0"/>
              <w:left w:val="single" w:color="auto" w:sz="12" w:space="0"/>
            </w:tcBorders>
            <w:shd w:val="clear" w:color="auto" w:fill="auto"/>
            <w:vAlign w:val="center"/>
          </w:tcPr>
          <w:p w14:paraId="50A35D7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91236C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890905" cy="333375"/>
                  <wp:effectExtent l="0" t="0" r="4445" b="0"/>
                  <wp:docPr id="1" name="图片 1" descr="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子签名"/>
                          <pic:cNvPicPr>
                            <a:picLocks noChangeAspect="1"/>
                          </pic:cNvPicPr>
                        </pic:nvPicPr>
                        <pic:blipFill>
                          <a:blip r:embed="rId5"/>
                          <a:stretch>
                            <a:fillRect/>
                          </a:stretch>
                        </pic:blipFill>
                        <pic:spPr>
                          <a:xfrm>
                            <a:off x="0" y="0"/>
                            <a:ext cx="890905" cy="333375"/>
                          </a:xfrm>
                          <a:prstGeom prst="rect">
                            <a:avLst/>
                          </a:prstGeom>
                        </pic:spPr>
                      </pic:pic>
                    </a:graphicData>
                  </a:graphic>
                </wp:inline>
              </w:drawing>
            </w:r>
            <w:r>
              <w:rPr>
                <w:rFonts w:hint="eastAsia"/>
                <w:sz w:val="21"/>
                <w:szCs w:val="21"/>
              </w:rPr>
              <w:t>（签名）</w:t>
            </w:r>
          </w:p>
        </w:tc>
        <w:tc>
          <w:tcPr>
            <w:tcW w:w="1425" w:type="dxa"/>
            <w:gridSpan w:val="2"/>
            <w:tcBorders>
              <w:top w:val="double" w:color="auto" w:sz="4" w:space="0"/>
            </w:tcBorders>
            <w:vAlign w:val="center"/>
          </w:tcPr>
          <w:p w14:paraId="68D5CC5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94A98A1">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2024年9月</w:t>
            </w:r>
            <w:bookmarkStart w:id="6" w:name="_GoBack"/>
            <w:bookmarkEnd w:id="6"/>
          </w:p>
        </w:tc>
      </w:tr>
      <w:tr w14:paraId="73928F92">
        <w:trPr>
          <w:trHeight w:val="510" w:hRule="atLeast"/>
        </w:trPr>
        <w:tc>
          <w:tcPr>
            <w:tcW w:w="1691" w:type="dxa"/>
            <w:tcBorders>
              <w:left w:val="single" w:color="auto" w:sz="12" w:space="0"/>
            </w:tcBorders>
            <w:shd w:val="clear" w:color="auto" w:fill="auto"/>
            <w:vAlign w:val="center"/>
          </w:tcPr>
          <w:p w14:paraId="1E7576C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FFBADD7">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597535" cy="328930"/>
                  <wp:effectExtent l="0" t="0" r="12065" b="1270"/>
                  <wp:docPr id="6" name="图片 6" descr="截屏2024-10-12 17.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屏2024-10-12 17.01.32"/>
                          <pic:cNvPicPr>
                            <a:picLocks noChangeAspect="1"/>
                          </pic:cNvPicPr>
                        </pic:nvPicPr>
                        <pic:blipFill>
                          <a:blip r:embed="rId6"/>
                          <a:stretch>
                            <a:fillRect/>
                          </a:stretch>
                        </pic:blipFill>
                        <pic:spPr>
                          <a:xfrm>
                            <a:off x="0" y="0"/>
                            <a:ext cx="597535" cy="328930"/>
                          </a:xfrm>
                          <a:prstGeom prst="rect">
                            <a:avLst/>
                          </a:prstGeom>
                        </pic:spPr>
                      </pic:pic>
                    </a:graphicData>
                  </a:graphic>
                </wp:inline>
              </w:drawing>
            </w:r>
            <w:r>
              <w:rPr>
                <w:rFonts w:hint="eastAsia"/>
                <w:sz w:val="21"/>
                <w:szCs w:val="21"/>
              </w:rPr>
              <w:t>（签名）</w:t>
            </w:r>
          </w:p>
        </w:tc>
        <w:tc>
          <w:tcPr>
            <w:tcW w:w="1425" w:type="dxa"/>
            <w:gridSpan w:val="2"/>
            <w:vAlign w:val="center"/>
          </w:tcPr>
          <w:p w14:paraId="5898BD2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FD2B1D0">
            <w:pPr>
              <w:widowControl w:val="0"/>
              <w:jc w:val="center"/>
              <w:rPr>
                <w:rFonts w:ascii="Times New Roman" w:hAnsi="Times New Roman"/>
                <w:color w:val="000000"/>
                <w:sz w:val="21"/>
                <w:szCs w:val="21"/>
              </w:rPr>
            </w:pPr>
            <w:r>
              <w:rPr>
                <w:rFonts w:hint="eastAsia" w:ascii="Times New Roman" w:hAnsi="Times New Roman"/>
                <w:color w:val="000000"/>
                <w:sz w:val="21"/>
                <w:szCs w:val="21"/>
              </w:rPr>
              <w:t>2024年9月</w:t>
            </w:r>
          </w:p>
        </w:tc>
      </w:tr>
      <w:tr w14:paraId="1E5D8968">
        <w:trPr>
          <w:trHeight w:val="510" w:hRule="atLeast"/>
        </w:trPr>
        <w:tc>
          <w:tcPr>
            <w:tcW w:w="1691" w:type="dxa"/>
            <w:tcBorders>
              <w:left w:val="single" w:color="auto" w:sz="12" w:space="0"/>
              <w:bottom w:val="single" w:color="auto" w:sz="12" w:space="0"/>
            </w:tcBorders>
            <w:shd w:val="clear" w:color="auto" w:fill="auto"/>
            <w:vAlign w:val="center"/>
          </w:tcPr>
          <w:p w14:paraId="558584A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2858BB5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686435" cy="292735"/>
                  <wp:effectExtent l="0" t="0" r="24765" b="12065"/>
                  <wp:docPr id="7" name="图片 7" descr="截屏2024-10-12 17.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屏2024-10-12 17.01.45"/>
                          <pic:cNvPicPr>
                            <a:picLocks noChangeAspect="1"/>
                          </pic:cNvPicPr>
                        </pic:nvPicPr>
                        <pic:blipFill>
                          <a:blip r:embed="rId7"/>
                          <a:stretch>
                            <a:fillRect/>
                          </a:stretch>
                        </pic:blipFill>
                        <pic:spPr>
                          <a:xfrm>
                            <a:off x="0" y="0"/>
                            <a:ext cx="686435" cy="292735"/>
                          </a:xfrm>
                          <a:prstGeom prst="rect">
                            <a:avLst/>
                          </a:prstGeom>
                        </pic:spPr>
                      </pic:pic>
                    </a:graphicData>
                  </a:graphic>
                </wp:inline>
              </w:drawing>
            </w:r>
            <w:r>
              <w:rPr>
                <w:rFonts w:hint="eastAsia"/>
                <w:sz w:val="21"/>
                <w:szCs w:val="21"/>
              </w:rPr>
              <w:t>（签名）</w:t>
            </w:r>
          </w:p>
        </w:tc>
        <w:tc>
          <w:tcPr>
            <w:tcW w:w="1425" w:type="dxa"/>
            <w:gridSpan w:val="2"/>
            <w:tcBorders>
              <w:bottom w:val="single" w:color="auto" w:sz="12" w:space="0"/>
            </w:tcBorders>
            <w:vAlign w:val="center"/>
          </w:tcPr>
          <w:p w14:paraId="6D07709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CA35801">
            <w:pPr>
              <w:widowControl w:val="0"/>
              <w:jc w:val="center"/>
              <w:rPr>
                <w:rFonts w:ascii="Times New Roman" w:hAnsi="Times New Roman"/>
                <w:color w:val="000000"/>
                <w:sz w:val="21"/>
                <w:szCs w:val="21"/>
              </w:rPr>
            </w:pPr>
            <w:r>
              <w:rPr>
                <w:rFonts w:hint="eastAsia" w:ascii="Times New Roman" w:hAnsi="Times New Roman"/>
                <w:color w:val="000000"/>
                <w:sz w:val="21"/>
                <w:szCs w:val="21"/>
              </w:rPr>
              <w:t>2024年9月</w:t>
            </w:r>
          </w:p>
        </w:tc>
      </w:tr>
    </w:tbl>
    <w:p w14:paraId="6F2C88C3">
      <w:pPr>
        <w:spacing w:line="100" w:lineRule="exact"/>
        <w:rPr>
          <w:rFonts w:ascii="Arial" w:hAnsi="Arial" w:eastAsia="黑体"/>
        </w:rPr>
      </w:pPr>
      <w:r>
        <w:br w:type="page"/>
      </w:r>
    </w:p>
    <w:p w14:paraId="0F0BEBA6">
      <w:pPr>
        <w:pStyle w:val="16"/>
        <w:spacing w:before="326" w:beforeLines="100" w:line="360" w:lineRule="auto"/>
        <w:rPr>
          <w:rFonts w:ascii="黑体" w:hAnsi="宋体"/>
        </w:rPr>
      </w:pPr>
      <w:r>
        <w:rPr>
          <w:rFonts w:hint="eastAsia" w:ascii="黑体" w:hAnsi="宋体"/>
        </w:rPr>
        <w:t>二、课程目标与毕业要求</w:t>
      </w:r>
    </w:p>
    <w:p w14:paraId="7A11E75F">
      <w:pPr>
        <w:pStyle w:val="17"/>
        <w:spacing w:before="81" w:after="163"/>
      </w:pPr>
      <w:r>
        <w:rPr>
          <w:rFonts w:hint="eastAsia"/>
        </w:rPr>
        <w:t xml:space="preserve">（一）课程目标 </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522DDC54">
        <w:trPr>
          <w:trHeight w:val="454" w:hRule="atLeast"/>
          <w:jc w:val="center"/>
        </w:trPr>
        <w:tc>
          <w:tcPr>
            <w:tcW w:w="1235" w:type="dxa"/>
            <w:vAlign w:val="center"/>
          </w:tcPr>
          <w:p w14:paraId="7BBC50CF">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82" w:type="dxa"/>
            <w:shd w:val="clear" w:color="auto" w:fill="auto"/>
            <w:vAlign w:val="center"/>
          </w:tcPr>
          <w:p w14:paraId="66A7EAAB">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459" w:type="dxa"/>
            <w:vAlign w:val="center"/>
          </w:tcPr>
          <w:p w14:paraId="49CC9D83">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4601B8E">
        <w:trPr>
          <w:trHeight w:val="340" w:hRule="atLeast"/>
          <w:jc w:val="center"/>
        </w:trPr>
        <w:tc>
          <w:tcPr>
            <w:tcW w:w="1235" w:type="dxa"/>
            <w:vMerge w:val="restart"/>
            <w:vAlign w:val="center"/>
          </w:tcPr>
          <w:p w14:paraId="51B4D439">
            <w:pPr>
              <w:snapToGrid w:val="0"/>
              <w:jc w:val="center"/>
            </w:pPr>
            <w:r>
              <w:rPr>
                <w:rFonts w:hint="eastAsia" w:ascii="黑体" w:hAnsi="黑体" w:eastAsia="黑体"/>
                <w:bCs/>
                <w:color w:val="000000"/>
                <w:sz w:val="21"/>
                <w:szCs w:val="18"/>
              </w:rPr>
              <w:t>知识目标</w:t>
            </w:r>
          </w:p>
        </w:tc>
        <w:tc>
          <w:tcPr>
            <w:tcW w:w="782" w:type="dxa"/>
            <w:shd w:val="clear" w:color="auto" w:fill="auto"/>
            <w:vAlign w:val="center"/>
          </w:tcPr>
          <w:p w14:paraId="63F3958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459" w:type="dxa"/>
            <w:vAlign w:val="center"/>
          </w:tcPr>
          <w:p w14:paraId="21F2833B">
            <w:pPr>
              <w:rPr>
                <w:rFonts w:ascii="宋体" w:hAnsi="宋体"/>
                <w:bCs/>
              </w:rPr>
            </w:pPr>
            <w:r>
              <w:rPr>
                <w:rFonts w:hint="eastAsia" w:asciiTheme="minorEastAsia" w:hAnsiTheme="minorEastAsia" w:eastAsiaTheme="minorEastAsia"/>
                <w:bCs/>
                <w:color w:val="auto"/>
                <w:sz w:val="20"/>
                <w:szCs w:val="18"/>
              </w:rPr>
              <w:t>通过解释学前教育法规政策的基本理论，能够列出、复述、解释、比较幼儿园、教师、幼儿的权利、义务与法律责任</w:t>
            </w:r>
            <w:r>
              <w:rPr>
                <w:rFonts w:hint="eastAsia" w:asciiTheme="minorEastAsia" w:hAnsiTheme="minorEastAsia" w:eastAsiaTheme="minorEastAsia"/>
                <w:bCs/>
                <w:color w:val="auto"/>
                <w:sz w:val="20"/>
                <w:szCs w:val="18"/>
                <w:lang w:val="en-US" w:eastAsia="zh-CN"/>
              </w:rPr>
              <w:t>。</w:t>
            </w:r>
          </w:p>
        </w:tc>
      </w:tr>
      <w:tr w14:paraId="015DC5F0">
        <w:trPr>
          <w:trHeight w:val="340" w:hRule="atLeast"/>
          <w:jc w:val="center"/>
        </w:trPr>
        <w:tc>
          <w:tcPr>
            <w:tcW w:w="1235" w:type="dxa"/>
            <w:vMerge w:val="continue"/>
            <w:vAlign w:val="center"/>
          </w:tcPr>
          <w:p w14:paraId="6DF61D32">
            <w:pPr>
              <w:pStyle w:val="14"/>
              <w:rPr>
                <w:bCs/>
              </w:rPr>
            </w:pPr>
          </w:p>
        </w:tc>
        <w:tc>
          <w:tcPr>
            <w:tcW w:w="782" w:type="dxa"/>
            <w:shd w:val="clear" w:color="auto" w:fill="auto"/>
            <w:vAlign w:val="center"/>
          </w:tcPr>
          <w:p w14:paraId="084C097A">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459" w:type="dxa"/>
            <w:vAlign w:val="center"/>
          </w:tcPr>
          <w:p w14:paraId="06BB7780">
            <w:pPr>
              <w:pStyle w:val="14"/>
              <w:jc w:val="left"/>
              <w:rPr>
                <w:rFonts w:ascii="宋体" w:hAnsi="宋体"/>
                <w:bCs/>
              </w:rPr>
            </w:pPr>
            <w:r>
              <w:rPr>
                <w:rFonts w:hint="eastAsia" w:asciiTheme="minorEastAsia" w:hAnsiTheme="minorEastAsia" w:eastAsiaTheme="minorEastAsia"/>
                <w:bCs/>
                <w:color w:val="auto"/>
                <w:sz w:val="20"/>
                <w:szCs w:val="18"/>
              </w:rPr>
              <w:t>能够列出、复述、解释《纲要》《指南》等系列学前教育政策</w:t>
            </w:r>
            <w:r>
              <w:rPr>
                <w:rFonts w:hint="eastAsia" w:asciiTheme="minorEastAsia" w:hAnsiTheme="minorEastAsia" w:eastAsiaTheme="minorEastAsia"/>
                <w:bCs/>
                <w:color w:val="auto"/>
                <w:sz w:val="20"/>
                <w:szCs w:val="18"/>
                <w:lang w:eastAsia="zh-CN"/>
              </w:rPr>
              <w:t>。</w:t>
            </w:r>
          </w:p>
        </w:tc>
      </w:tr>
      <w:tr w14:paraId="53669A3C">
        <w:trPr>
          <w:trHeight w:val="340" w:hRule="atLeast"/>
          <w:jc w:val="center"/>
        </w:trPr>
        <w:tc>
          <w:tcPr>
            <w:tcW w:w="1235" w:type="dxa"/>
            <w:vMerge w:val="continue"/>
            <w:vAlign w:val="center"/>
          </w:tcPr>
          <w:p w14:paraId="42C788F4">
            <w:pPr>
              <w:pStyle w:val="14"/>
              <w:rPr>
                <w:bCs/>
              </w:rPr>
            </w:pPr>
          </w:p>
        </w:tc>
        <w:tc>
          <w:tcPr>
            <w:tcW w:w="782" w:type="dxa"/>
            <w:shd w:val="clear" w:color="auto" w:fill="auto"/>
            <w:vAlign w:val="center"/>
          </w:tcPr>
          <w:p w14:paraId="2873FC6F">
            <w:pPr>
              <w:snapToGrid w:val="0"/>
              <w:jc w:val="center"/>
              <w:rPr>
                <w:rFonts w:hint="eastAsia" w:ascii="Arial" w:hAnsi="Arial" w:eastAsia="黑体" w:cs="Arial"/>
                <w:bCs/>
                <w:color w:val="000000"/>
                <w:sz w:val="21"/>
                <w:szCs w:val="18"/>
                <w:lang w:val="en-US" w:eastAsia="zh-CN"/>
              </w:rPr>
            </w:pPr>
            <w:r>
              <w:rPr>
                <w:rFonts w:hint="eastAsia" w:ascii="Arial" w:hAnsi="Arial" w:eastAsia="黑体" w:cs="Arial"/>
                <w:bCs/>
                <w:color w:val="000000"/>
                <w:sz w:val="21"/>
                <w:szCs w:val="18"/>
                <w:lang w:val="en-US" w:eastAsia="zh-CN"/>
              </w:rPr>
              <w:t>3</w:t>
            </w:r>
          </w:p>
        </w:tc>
        <w:tc>
          <w:tcPr>
            <w:tcW w:w="6459" w:type="dxa"/>
            <w:vAlign w:val="center"/>
          </w:tcPr>
          <w:p w14:paraId="1372E4C7">
            <w:pPr>
              <w:pStyle w:val="14"/>
              <w:jc w:val="left"/>
              <w:rPr>
                <w:rFonts w:hint="eastAsia" w:asciiTheme="minorEastAsia" w:hAnsiTheme="minorEastAsia" w:eastAsiaTheme="minorEastAsia"/>
                <w:bCs/>
                <w:color w:val="auto"/>
                <w:sz w:val="20"/>
                <w:szCs w:val="18"/>
              </w:rPr>
            </w:pPr>
            <w:r>
              <w:rPr>
                <w:rFonts w:hint="eastAsia" w:asciiTheme="minorEastAsia" w:hAnsiTheme="minorEastAsia" w:eastAsiaTheme="minorEastAsia"/>
                <w:bCs/>
                <w:color w:val="auto"/>
                <w:sz w:val="20"/>
                <w:szCs w:val="18"/>
              </w:rPr>
              <w:t>能够列出、复述、解释我国学前教育法规政策规定的幼儿园环境创设、一日生活组织与实施、保育、幼儿园集体教学与区域活动等教育活动、安全应急、家园社区共育以及幼儿园和班级管理等保育教育环节的基本原则、目标、任务、内容、要求、技能和方法。</w:t>
            </w:r>
          </w:p>
        </w:tc>
      </w:tr>
      <w:tr w14:paraId="1AF3D2D4">
        <w:trPr>
          <w:trHeight w:val="340" w:hRule="atLeast"/>
          <w:jc w:val="center"/>
        </w:trPr>
        <w:tc>
          <w:tcPr>
            <w:tcW w:w="1235" w:type="dxa"/>
            <w:vMerge w:val="restart"/>
            <w:vAlign w:val="center"/>
          </w:tcPr>
          <w:p w14:paraId="020A6792">
            <w:pPr>
              <w:snapToGrid w:val="0"/>
              <w:jc w:val="center"/>
            </w:pPr>
            <w:r>
              <w:rPr>
                <w:rFonts w:hint="eastAsia" w:ascii="黑体" w:hAnsi="黑体" w:eastAsia="黑体"/>
                <w:bCs/>
                <w:color w:val="000000"/>
                <w:sz w:val="21"/>
                <w:szCs w:val="18"/>
              </w:rPr>
              <w:t>技能目标</w:t>
            </w:r>
          </w:p>
        </w:tc>
        <w:tc>
          <w:tcPr>
            <w:tcW w:w="782" w:type="dxa"/>
            <w:shd w:val="clear" w:color="auto" w:fill="auto"/>
            <w:vAlign w:val="center"/>
          </w:tcPr>
          <w:p w14:paraId="71D1D6AC">
            <w:pPr>
              <w:snapToGrid w:val="0"/>
              <w:jc w:val="center"/>
              <w:rPr>
                <w:rFonts w:hint="eastAsia" w:ascii="Arial" w:hAnsi="Arial" w:eastAsia="黑体" w:cs="Arial"/>
                <w:bCs/>
                <w:color w:val="000000"/>
                <w:sz w:val="21"/>
                <w:szCs w:val="18"/>
                <w:lang w:eastAsia="zh-CN"/>
              </w:rPr>
            </w:pPr>
            <w:r>
              <w:rPr>
                <w:rFonts w:hint="eastAsia" w:ascii="Arial" w:hAnsi="Arial" w:eastAsia="黑体" w:cs="Arial"/>
                <w:bCs/>
                <w:color w:val="000000"/>
                <w:sz w:val="21"/>
                <w:szCs w:val="18"/>
                <w:lang w:val="en-US" w:eastAsia="zh-CN"/>
              </w:rPr>
              <w:t>4</w:t>
            </w:r>
          </w:p>
        </w:tc>
        <w:tc>
          <w:tcPr>
            <w:tcW w:w="6459" w:type="dxa"/>
            <w:vAlign w:val="center"/>
          </w:tcPr>
          <w:p w14:paraId="454D4BBD">
            <w:pPr>
              <w:rPr>
                <w:rFonts w:hint="eastAsia" w:asciiTheme="minorEastAsia" w:hAnsiTheme="minorEastAsia" w:eastAsiaTheme="minorEastAsia"/>
                <w:bCs/>
                <w:color w:val="auto"/>
                <w:sz w:val="20"/>
                <w:szCs w:val="18"/>
              </w:rPr>
            </w:pPr>
            <w:r>
              <w:rPr>
                <w:rFonts w:hint="eastAsia" w:asciiTheme="minorEastAsia" w:hAnsiTheme="minorEastAsia" w:eastAsiaTheme="minorEastAsia"/>
                <w:bCs/>
                <w:color w:val="auto"/>
                <w:sz w:val="20"/>
                <w:szCs w:val="18"/>
                <w:lang w:eastAsia="zh-CN"/>
              </w:rPr>
              <w:t>能够列出、解释、运用学前教育法律救济的基本原则、程序、方法，能够识别保教活动中的不安全因素并能紧急应对处置，不断提升运用法律政策知识保护幼儿园、幼儿和本人合法权益的能力。</w:t>
            </w:r>
          </w:p>
        </w:tc>
      </w:tr>
      <w:tr w14:paraId="40F48184">
        <w:trPr>
          <w:trHeight w:val="340" w:hRule="atLeast"/>
          <w:jc w:val="center"/>
        </w:trPr>
        <w:tc>
          <w:tcPr>
            <w:tcW w:w="1235" w:type="dxa"/>
            <w:vMerge w:val="continue"/>
            <w:vAlign w:val="center"/>
          </w:tcPr>
          <w:p w14:paraId="618192CE">
            <w:pPr>
              <w:pStyle w:val="14"/>
              <w:rPr>
                <w:rFonts w:ascii="宋体" w:hAnsi="宋体"/>
              </w:rPr>
            </w:pPr>
          </w:p>
        </w:tc>
        <w:tc>
          <w:tcPr>
            <w:tcW w:w="782" w:type="dxa"/>
            <w:shd w:val="clear" w:color="auto" w:fill="auto"/>
            <w:vAlign w:val="center"/>
          </w:tcPr>
          <w:p w14:paraId="15D3226D">
            <w:pPr>
              <w:snapToGrid w:val="0"/>
              <w:jc w:val="center"/>
              <w:rPr>
                <w:rFonts w:hint="eastAsia" w:ascii="Arial" w:hAnsi="Arial" w:eastAsia="黑体" w:cs="Arial"/>
                <w:bCs/>
                <w:color w:val="000000"/>
                <w:sz w:val="21"/>
                <w:szCs w:val="18"/>
                <w:lang w:eastAsia="zh-CN"/>
              </w:rPr>
            </w:pPr>
            <w:r>
              <w:rPr>
                <w:rFonts w:hint="eastAsia" w:ascii="Arial" w:hAnsi="Arial" w:eastAsia="黑体" w:cs="Arial"/>
                <w:bCs/>
                <w:color w:val="000000"/>
                <w:sz w:val="21"/>
                <w:szCs w:val="18"/>
                <w:lang w:val="en-US" w:eastAsia="zh-CN"/>
              </w:rPr>
              <w:t>5</w:t>
            </w:r>
          </w:p>
        </w:tc>
        <w:tc>
          <w:tcPr>
            <w:tcW w:w="6459" w:type="dxa"/>
            <w:vAlign w:val="center"/>
          </w:tcPr>
          <w:p w14:paraId="7CC59966">
            <w:pPr>
              <w:pStyle w:val="14"/>
              <w:jc w:val="left"/>
              <w:rPr>
                <w:rFonts w:hint="eastAsia" w:cs="宋体" w:asciiTheme="minorEastAsia" w:hAnsiTheme="minorEastAsia" w:eastAsiaTheme="minorEastAsia"/>
                <w:bCs/>
                <w:color w:val="auto"/>
                <w:sz w:val="20"/>
                <w:szCs w:val="18"/>
                <w:lang w:val="en-US" w:eastAsia="zh-CN" w:bidi="ar-SA"/>
              </w:rPr>
            </w:pPr>
            <w:r>
              <w:rPr>
                <w:rFonts w:hint="eastAsia" w:cs="宋体" w:asciiTheme="minorEastAsia" w:hAnsiTheme="minorEastAsia" w:eastAsiaTheme="minorEastAsia"/>
                <w:bCs/>
                <w:color w:val="auto"/>
                <w:sz w:val="20"/>
                <w:szCs w:val="18"/>
                <w:lang w:val="en-US" w:eastAsia="zh-CN" w:bidi="ar-SA"/>
              </w:rPr>
              <w:t>能够运用幼儿教育的政策、法律、法规解决办园实践中的具体问题。</w:t>
            </w:r>
          </w:p>
        </w:tc>
      </w:tr>
      <w:tr w14:paraId="2E7F29D8">
        <w:trPr>
          <w:trHeight w:val="340" w:hRule="atLeast"/>
          <w:jc w:val="center"/>
        </w:trPr>
        <w:tc>
          <w:tcPr>
            <w:tcW w:w="1235" w:type="dxa"/>
            <w:vMerge w:val="restart"/>
            <w:vAlign w:val="center"/>
          </w:tcPr>
          <w:p w14:paraId="4B504E2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06243DBE">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82" w:type="dxa"/>
            <w:shd w:val="clear" w:color="auto" w:fill="auto"/>
            <w:vAlign w:val="center"/>
          </w:tcPr>
          <w:p w14:paraId="42152AC9">
            <w:pPr>
              <w:snapToGrid w:val="0"/>
              <w:jc w:val="center"/>
              <w:rPr>
                <w:rFonts w:hint="eastAsia" w:ascii="Arial" w:hAnsi="Arial" w:eastAsia="黑体" w:cs="Arial"/>
                <w:bCs/>
                <w:color w:val="000000"/>
                <w:sz w:val="21"/>
                <w:szCs w:val="18"/>
                <w:lang w:eastAsia="zh-CN"/>
              </w:rPr>
            </w:pPr>
            <w:r>
              <w:rPr>
                <w:rFonts w:hint="eastAsia" w:ascii="Arial" w:hAnsi="Arial" w:eastAsia="黑体" w:cs="Arial"/>
                <w:bCs/>
                <w:color w:val="000000"/>
                <w:sz w:val="21"/>
                <w:szCs w:val="18"/>
                <w:lang w:val="en-US" w:eastAsia="zh-CN"/>
              </w:rPr>
              <w:t>6</w:t>
            </w:r>
          </w:p>
        </w:tc>
        <w:tc>
          <w:tcPr>
            <w:tcW w:w="6459" w:type="dxa"/>
            <w:vAlign w:val="center"/>
          </w:tcPr>
          <w:p w14:paraId="27652A01">
            <w:pPr>
              <w:numPr>
                <w:ilvl w:val="0"/>
                <w:numId w:val="0"/>
              </w:numPr>
              <w:rPr>
                <w:rFonts w:hint="eastAsia" w:cs="宋体" w:asciiTheme="minorEastAsia" w:hAnsiTheme="minorEastAsia" w:eastAsiaTheme="minorEastAsia"/>
                <w:bCs/>
                <w:color w:val="auto"/>
                <w:sz w:val="20"/>
                <w:szCs w:val="18"/>
                <w:lang w:val="en-US" w:eastAsia="zh-CN" w:bidi="ar-SA"/>
              </w:rPr>
            </w:pPr>
            <w:r>
              <w:rPr>
                <w:rFonts w:hint="eastAsia" w:cs="宋体" w:asciiTheme="minorEastAsia" w:hAnsiTheme="minorEastAsia" w:eastAsiaTheme="minorEastAsia"/>
                <w:bCs/>
                <w:color w:val="auto"/>
                <w:sz w:val="20"/>
                <w:szCs w:val="18"/>
                <w:lang w:val="en-US" w:eastAsia="zh-CN" w:bidi="ar-SA"/>
              </w:rPr>
              <w:t>能够在未来的保育教育活动中贯彻党和国家教育方针政策，遵守幼儿园教师职业道德规范和学前教育法律法规政策，养成良好的职业道德和守法意识。</w:t>
            </w:r>
          </w:p>
        </w:tc>
      </w:tr>
      <w:tr w14:paraId="13C4A158">
        <w:trPr>
          <w:trHeight w:val="340" w:hRule="atLeast"/>
          <w:jc w:val="center"/>
        </w:trPr>
        <w:tc>
          <w:tcPr>
            <w:tcW w:w="1235" w:type="dxa"/>
            <w:vMerge w:val="continue"/>
            <w:vAlign w:val="center"/>
          </w:tcPr>
          <w:p w14:paraId="1DA87912">
            <w:pPr>
              <w:pStyle w:val="14"/>
              <w:rPr>
                <w:rFonts w:ascii="宋体" w:hAnsi="宋体"/>
              </w:rPr>
            </w:pPr>
          </w:p>
        </w:tc>
        <w:tc>
          <w:tcPr>
            <w:tcW w:w="782" w:type="dxa"/>
            <w:shd w:val="clear" w:color="auto" w:fill="auto"/>
            <w:vAlign w:val="center"/>
          </w:tcPr>
          <w:p w14:paraId="70B29760">
            <w:pPr>
              <w:snapToGrid w:val="0"/>
              <w:jc w:val="center"/>
              <w:rPr>
                <w:rFonts w:hint="eastAsia" w:ascii="Arial" w:hAnsi="Arial" w:eastAsia="黑体" w:cs="Arial"/>
                <w:bCs/>
                <w:color w:val="000000"/>
                <w:sz w:val="21"/>
                <w:szCs w:val="18"/>
                <w:lang w:eastAsia="zh-CN"/>
              </w:rPr>
            </w:pPr>
            <w:r>
              <w:rPr>
                <w:rFonts w:hint="eastAsia" w:ascii="Arial" w:hAnsi="Arial" w:eastAsia="黑体" w:cs="Arial"/>
                <w:bCs/>
                <w:color w:val="000000"/>
                <w:sz w:val="21"/>
                <w:szCs w:val="18"/>
                <w:lang w:val="en-US" w:eastAsia="zh-CN"/>
              </w:rPr>
              <w:t>7</w:t>
            </w:r>
          </w:p>
        </w:tc>
        <w:tc>
          <w:tcPr>
            <w:tcW w:w="6459" w:type="dxa"/>
            <w:vAlign w:val="center"/>
          </w:tcPr>
          <w:p w14:paraId="0151A39F">
            <w:pPr>
              <w:pStyle w:val="14"/>
              <w:jc w:val="left"/>
              <w:rPr>
                <w:rFonts w:hint="eastAsia" w:cs="宋体" w:asciiTheme="minorEastAsia" w:hAnsiTheme="minorEastAsia" w:eastAsiaTheme="minorEastAsia"/>
                <w:bCs/>
                <w:color w:val="auto"/>
                <w:sz w:val="20"/>
                <w:szCs w:val="18"/>
                <w:lang w:val="en-US" w:eastAsia="zh-CN" w:bidi="ar-SA"/>
              </w:rPr>
            </w:pPr>
            <w:r>
              <w:rPr>
                <w:rFonts w:hint="eastAsia" w:cs="宋体" w:asciiTheme="minorEastAsia" w:hAnsiTheme="minorEastAsia" w:eastAsiaTheme="minorEastAsia"/>
                <w:bCs/>
                <w:color w:val="auto"/>
                <w:sz w:val="20"/>
                <w:szCs w:val="18"/>
                <w:lang w:val="en-US" w:eastAsia="zh-CN" w:bidi="ar-SA"/>
              </w:rPr>
              <w:t>能够坚守科学的儿童观，关爱幼儿，尊重幼儿人格，热爱学前教育事业和幼儿园教师职业，具有专业信念和专业精神。</w:t>
            </w:r>
          </w:p>
        </w:tc>
      </w:tr>
    </w:tbl>
    <w:p w14:paraId="5F62D39B">
      <w:pPr>
        <w:pStyle w:val="17"/>
        <w:spacing w:before="163" w:beforeLines="50" w:after="163"/>
      </w:pPr>
      <w:r>
        <w:rPr>
          <w:rFonts w:hint="eastAsia"/>
        </w:rPr>
        <w:t>（二）课程支撑的毕业要求</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17"/>
      </w:tblGrid>
      <w:tr w14:paraId="1B81F154">
        <w:trPr>
          <w:trHeight w:val="2403" w:hRule="atLeast"/>
        </w:trPr>
        <w:tc>
          <w:tcPr>
            <w:tcW w:w="8517" w:type="dxa"/>
          </w:tcPr>
          <w:p w14:paraId="779B3CEF">
            <w:pPr>
              <w:pStyle w:val="14"/>
              <w:widowControl w:val="0"/>
              <w:jc w:val="left"/>
              <w:rPr>
                <w:rFonts w:hint="eastAsia" w:ascii="宋体" w:hAnsi="宋体" w:eastAsia="宋体"/>
                <w:bCs/>
                <w:lang w:eastAsia="zh-CN"/>
              </w:rPr>
            </w:pPr>
            <w:r>
              <w:rPr>
                <w:rFonts w:hint="eastAsia" w:ascii="宋体" w:hAnsi="宋体"/>
                <w:bCs/>
              </w:rPr>
              <w:t>LO1师德规范</w:t>
            </w:r>
            <w:r>
              <w:rPr>
                <w:rFonts w:hint="eastAsia" w:ascii="宋体" w:hAnsi="宋体"/>
                <w:bCs/>
                <w:lang w:eastAsia="zh-CN"/>
              </w:rPr>
              <w:t>：</w:t>
            </w:r>
            <w:r>
              <w:rPr>
                <w:rFonts w:cs="Times New Roman"/>
              </w:rPr>
              <w:t>拥护</w:t>
            </w:r>
            <w:r>
              <w:rPr>
                <w:rFonts w:hint="eastAsia" w:cs="Times New Roman"/>
              </w:rPr>
              <w:t>中国共产</w:t>
            </w:r>
            <w:r>
              <w:rPr>
                <w:rFonts w:cs="Times New Roman"/>
              </w:rPr>
              <w:t>党的领导，坚定理想信念，自觉涵养和积极弘扬社会主义核心价值观，增强政治认同、厚植家国情怀、遵守法律法规、传承雷锋精神，践行</w:t>
            </w:r>
            <w:r>
              <w:rPr>
                <w:rFonts w:hint="eastAsia" w:cs="Times New Roman"/>
              </w:rPr>
              <w:t>“感恩、回报、爱心、责任”</w:t>
            </w:r>
            <w:r>
              <w:rPr>
                <w:rFonts w:cs="Times New Roman"/>
              </w:rPr>
              <w:t>八字校训，积极服务他人、服务社会、诚信尽责、爱岗敬业。</w:t>
            </w:r>
          </w:p>
          <w:p w14:paraId="0288AC2F">
            <w:pPr>
              <w:pStyle w:val="14"/>
              <w:widowControl w:val="0"/>
              <w:jc w:val="left"/>
              <w:rPr>
                <w:rFonts w:hint="eastAsia" w:ascii="宋体" w:hAnsi="宋体"/>
                <w:bCs/>
              </w:rPr>
            </w:pPr>
            <w:r>
              <w:rPr>
                <w:rFonts w:hint="eastAsia" w:ascii="宋体" w:hAnsi="宋体"/>
                <w:bCs/>
              </w:rPr>
              <w:t>①拥护党的领导，贯彻党的教育方针，以立德树人为己任；践行社会主义核心价值观，增进对中国特色社会主义的思想、政治、文化、历史、理论和情感认同。</w:t>
            </w:r>
          </w:p>
          <w:p w14:paraId="573F2957">
            <w:pPr>
              <w:pStyle w:val="14"/>
              <w:widowControl w:val="0"/>
              <w:jc w:val="left"/>
              <w:rPr>
                <w:rFonts w:hint="eastAsia" w:ascii="宋体" w:hAnsi="宋体"/>
                <w:bCs/>
              </w:rPr>
            </w:pPr>
            <w:r>
              <w:rPr>
                <w:rFonts w:hint="eastAsia" w:ascii="宋体" w:hAnsi="宋体"/>
                <w:bCs/>
              </w:rPr>
              <w:t>②理解与践行学前教育核心价值，立志成为有理想信念、有道德情操、有扎实学识、有仁爱之心的好老师。</w:t>
            </w:r>
          </w:p>
          <w:p w14:paraId="20486CE8">
            <w:pPr>
              <w:pStyle w:val="14"/>
              <w:widowControl w:val="0"/>
              <w:jc w:val="left"/>
              <w:rPr>
                <w:rFonts w:ascii="宋体" w:hAnsi="宋体"/>
                <w:bCs/>
              </w:rPr>
            </w:pPr>
            <w:r>
              <w:rPr>
                <w:rFonts w:hint="eastAsia" w:ascii="宋体" w:hAnsi="宋体"/>
                <w:bCs/>
              </w:rPr>
              <w:t>③明确与践行幼儿园教师保教行为规范，自觉遵守法律法规、校纪校规。</w:t>
            </w:r>
          </w:p>
          <w:p w14:paraId="30629AE7">
            <w:pPr>
              <w:pStyle w:val="14"/>
              <w:widowControl w:val="0"/>
              <w:jc w:val="left"/>
              <w:rPr>
                <w:rFonts w:hint="eastAsia" w:ascii="宋体" w:hAnsi="宋体"/>
                <w:bCs/>
              </w:rPr>
            </w:pPr>
          </w:p>
        </w:tc>
      </w:tr>
      <w:tr w14:paraId="4B46D32F">
        <w:trPr>
          <w:trHeight w:val="855" w:hRule="atLeast"/>
        </w:trPr>
        <w:tc>
          <w:tcPr>
            <w:tcW w:w="8517" w:type="dxa"/>
          </w:tcPr>
          <w:p w14:paraId="6EF63AAF">
            <w:pPr>
              <w:pStyle w:val="14"/>
              <w:widowControl w:val="0"/>
              <w:jc w:val="left"/>
              <w:rPr>
                <w:rFonts w:hint="eastAsia" w:ascii="宋体" w:hAnsi="宋体" w:eastAsia="宋体"/>
                <w:bCs/>
                <w:lang w:val="en-US" w:eastAsia="zh-CN"/>
              </w:rPr>
            </w:pPr>
            <w:r>
              <w:rPr>
                <w:rFonts w:hint="eastAsia" w:ascii="宋体" w:hAnsi="宋体"/>
                <w:bCs/>
              </w:rPr>
              <w:t>LO9反思研究</w:t>
            </w:r>
            <w:r>
              <w:rPr>
                <w:rFonts w:hint="eastAsia" w:ascii="宋体" w:hAnsi="宋体"/>
                <w:bCs/>
                <w:lang w:val="en-US" w:eastAsia="zh-CN"/>
              </w:rPr>
              <w:t>:能自主规划提升自身的专业素养；能立足本土、追踪国际趋势参与交流合作；能在理论学习、儿童研究、幼教实践的不断循环中进行反思，并在持续反思中改善实践，不断追求优质幼教。</w:t>
            </w:r>
          </w:p>
          <w:p w14:paraId="286BC7DA">
            <w:pPr>
              <w:pStyle w:val="14"/>
              <w:widowControl w:val="0"/>
              <w:jc w:val="left"/>
              <w:rPr>
                <w:rFonts w:hint="eastAsia" w:ascii="宋体" w:hAnsi="宋体"/>
                <w:bCs/>
              </w:rPr>
            </w:pPr>
            <w:r>
              <w:rPr>
                <w:rFonts w:hint="eastAsia" w:ascii="宋体" w:hAnsi="宋体"/>
                <w:bCs/>
              </w:rPr>
              <w:t>②运用批判性思维方法，关注和分析教育实践中的问题。</w:t>
            </w:r>
          </w:p>
          <w:p w14:paraId="39F344ED">
            <w:pPr>
              <w:pStyle w:val="14"/>
              <w:widowControl w:val="0"/>
              <w:jc w:val="left"/>
              <w:rPr>
                <w:rFonts w:hint="eastAsia" w:ascii="宋体" w:hAnsi="宋体"/>
                <w:bCs/>
              </w:rPr>
            </w:pPr>
          </w:p>
        </w:tc>
      </w:tr>
    </w:tbl>
    <w:p w14:paraId="54BF73E8">
      <w:pPr>
        <w:pStyle w:val="17"/>
        <w:spacing w:before="163" w:beforeLines="50" w:after="163"/>
      </w:pPr>
      <w:r>
        <w:rPr>
          <w:rFonts w:hint="eastAsia"/>
        </w:rPr>
        <w:t xml:space="preserve">（三）毕业要求与课程目标的关系 </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794"/>
        <w:gridCol w:w="794"/>
        <w:gridCol w:w="4763"/>
        <w:gridCol w:w="1348"/>
      </w:tblGrid>
      <w:tr w14:paraId="426BD416">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62876F18">
            <w:pPr>
              <w:pStyle w:val="13"/>
              <w:rPr>
                <w:szCs w:val="16"/>
              </w:rPr>
            </w:pPr>
            <w:r>
              <w:rPr>
                <w:rFonts w:hint="eastAsia" w:ascii="黑体" w:hAnsi="黑体"/>
                <w:szCs w:val="18"/>
              </w:rPr>
              <w:t>毕业要求</w:t>
            </w:r>
          </w:p>
        </w:tc>
        <w:tc>
          <w:tcPr>
            <w:tcW w:w="794" w:type="dxa"/>
            <w:tcBorders>
              <w:top w:val="single" w:color="auto" w:sz="12" w:space="0"/>
              <w:left w:val="single" w:color="auto" w:sz="4" w:space="0"/>
            </w:tcBorders>
            <w:vAlign w:val="center"/>
          </w:tcPr>
          <w:p w14:paraId="00B8DD17">
            <w:pPr>
              <w:pStyle w:val="13"/>
              <w:rPr>
                <w:szCs w:val="16"/>
              </w:rPr>
            </w:pPr>
            <w:r>
              <w:rPr>
                <w:rFonts w:hint="eastAsia"/>
                <w:szCs w:val="16"/>
              </w:rPr>
              <w:t>指标点</w:t>
            </w:r>
          </w:p>
        </w:tc>
        <w:tc>
          <w:tcPr>
            <w:tcW w:w="794" w:type="dxa"/>
            <w:tcBorders>
              <w:top w:val="single" w:color="auto" w:sz="12" w:space="0"/>
              <w:right w:val="double" w:color="auto" w:sz="4" w:space="0"/>
            </w:tcBorders>
            <w:shd w:val="clear" w:color="auto" w:fill="auto"/>
            <w:vAlign w:val="center"/>
          </w:tcPr>
          <w:p w14:paraId="779B233D">
            <w:pPr>
              <w:pStyle w:val="13"/>
              <w:rPr>
                <w:szCs w:val="16"/>
              </w:rPr>
            </w:pPr>
            <w:r>
              <w:rPr>
                <w:rFonts w:hint="eastAsia"/>
                <w:szCs w:val="16"/>
              </w:rPr>
              <w:t>支撑度</w:t>
            </w:r>
          </w:p>
        </w:tc>
        <w:tc>
          <w:tcPr>
            <w:tcW w:w="4763" w:type="dxa"/>
            <w:tcBorders>
              <w:top w:val="single" w:color="auto" w:sz="12" w:space="0"/>
            </w:tcBorders>
            <w:vAlign w:val="center"/>
          </w:tcPr>
          <w:p w14:paraId="7F953421">
            <w:pPr>
              <w:pStyle w:val="13"/>
              <w:rPr>
                <w:szCs w:val="16"/>
              </w:rPr>
            </w:pPr>
            <w:r>
              <w:rPr>
                <w:rFonts w:hint="eastAsia"/>
                <w:szCs w:val="16"/>
              </w:rPr>
              <w:t>课程目标</w:t>
            </w:r>
          </w:p>
        </w:tc>
        <w:tc>
          <w:tcPr>
            <w:tcW w:w="1348" w:type="dxa"/>
            <w:tcBorders>
              <w:top w:val="single" w:color="auto" w:sz="12" w:space="0"/>
              <w:right w:val="single" w:color="auto" w:sz="12" w:space="0"/>
            </w:tcBorders>
            <w:vAlign w:val="center"/>
          </w:tcPr>
          <w:p w14:paraId="7029D552">
            <w:pPr>
              <w:pStyle w:val="13"/>
              <w:rPr>
                <w:szCs w:val="16"/>
              </w:rPr>
            </w:pPr>
            <w:r>
              <w:rPr>
                <w:rFonts w:hint="eastAsia"/>
                <w:szCs w:val="16"/>
              </w:rPr>
              <w:t>对指标点的贡献度</w:t>
            </w:r>
          </w:p>
        </w:tc>
      </w:tr>
      <w:tr w14:paraId="4DA92873">
        <w:trPr>
          <w:trHeight w:val="340" w:hRule="atLeast"/>
          <w:jc w:val="center"/>
        </w:trPr>
        <w:tc>
          <w:tcPr>
            <w:tcW w:w="777" w:type="dxa"/>
            <w:vMerge w:val="restart"/>
            <w:tcBorders>
              <w:left w:val="single" w:color="auto" w:sz="12" w:space="0"/>
              <w:right w:val="single" w:color="auto" w:sz="4" w:space="0"/>
            </w:tcBorders>
            <w:shd w:val="clear" w:color="auto" w:fill="auto"/>
            <w:vAlign w:val="center"/>
          </w:tcPr>
          <w:p w14:paraId="08FDF022">
            <w:pPr>
              <w:pStyle w:val="14"/>
            </w:pPr>
            <w:r>
              <w:rPr>
                <w:rFonts w:hint="eastAsia" w:ascii="宋体" w:hAnsi="宋体"/>
                <w:bCs/>
              </w:rPr>
              <w:t>LO1</w:t>
            </w:r>
          </w:p>
        </w:tc>
        <w:tc>
          <w:tcPr>
            <w:tcW w:w="794" w:type="dxa"/>
            <w:vMerge w:val="restart"/>
            <w:tcBorders>
              <w:left w:val="single" w:color="auto" w:sz="4" w:space="0"/>
            </w:tcBorders>
            <w:vAlign w:val="center"/>
          </w:tcPr>
          <w:p w14:paraId="1575EB7D">
            <w:pPr>
              <w:pStyle w:val="14"/>
              <w:rPr>
                <w:rFonts w:cs="Times New Roman"/>
                <w:bCs/>
              </w:rPr>
            </w:pPr>
            <w:r>
              <w:rPr>
                <w:rFonts w:hint="eastAsia" w:ascii="宋体" w:hAnsi="宋体"/>
                <w:bCs/>
              </w:rPr>
              <w:t>①</w:t>
            </w:r>
          </w:p>
        </w:tc>
        <w:tc>
          <w:tcPr>
            <w:tcW w:w="794" w:type="dxa"/>
            <w:vMerge w:val="restart"/>
            <w:tcBorders>
              <w:right w:val="double" w:color="auto" w:sz="4" w:space="0"/>
            </w:tcBorders>
            <w:shd w:val="clear" w:color="auto" w:fill="auto"/>
            <w:vAlign w:val="center"/>
          </w:tcPr>
          <w:p w14:paraId="3ED4AEBA">
            <w:pPr>
              <w:pStyle w:val="14"/>
              <w:rPr>
                <w:rFonts w:hint="eastAsia" w:ascii="宋体" w:hAnsi="宋体" w:eastAsia="宋体"/>
                <w:lang w:val="en-US" w:eastAsia="zh-CN"/>
              </w:rPr>
            </w:pPr>
            <w:r>
              <w:rPr>
                <w:rFonts w:hint="eastAsia" w:ascii="宋体" w:hAnsi="宋体"/>
                <w:lang w:val="en-US" w:eastAsia="zh-CN"/>
              </w:rPr>
              <w:t>H</w:t>
            </w:r>
          </w:p>
        </w:tc>
        <w:tc>
          <w:tcPr>
            <w:tcW w:w="4763" w:type="dxa"/>
            <w:vAlign w:val="center"/>
          </w:tcPr>
          <w:p w14:paraId="1187E13E">
            <w:pPr>
              <w:pStyle w:val="14"/>
              <w:jc w:val="left"/>
              <w:rPr>
                <w:rFonts w:ascii="宋体" w:hAnsi="宋体"/>
                <w:bCs/>
              </w:rPr>
            </w:pPr>
            <w:r>
              <w:rPr>
                <w:rFonts w:hint="eastAsia" w:cs="宋体" w:asciiTheme="minorEastAsia" w:hAnsiTheme="minorEastAsia" w:eastAsiaTheme="minorEastAsia"/>
                <w:bCs/>
                <w:color w:val="auto"/>
                <w:sz w:val="20"/>
                <w:szCs w:val="18"/>
                <w:lang w:val="en-US" w:eastAsia="zh-CN" w:bidi="ar-SA"/>
              </w:rPr>
              <w:t>6.能够在未来的保育教育活动中贯彻党和国家教育方针政策，遵守幼儿园教师职业道德规范和学前教育法律法规政策，养成良好的职业道德和守法意识。</w:t>
            </w:r>
          </w:p>
        </w:tc>
        <w:tc>
          <w:tcPr>
            <w:tcW w:w="1348" w:type="dxa"/>
            <w:tcBorders>
              <w:right w:val="single" w:color="auto" w:sz="12" w:space="0"/>
            </w:tcBorders>
            <w:vAlign w:val="center"/>
          </w:tcPr>
          <w:p w14:paraId="77030586">
            <w:pPr>
              <w:pStyle w:val="14"/>
              <w:rPr>
                <w:rFonts w:hint="default" w:ascii="宋体" w:hAnsi="宋体" w:eastAsia="宋体"/>
                <w:bCs/>
                <w:lang w:val="en-US" w:eastAsia="zh-CN"/>
              </w:rPr>
            </w:pPr>
            <w:r>
              <w:rPr>
                <w:rFonts w:hint="eastAsia" w:ascii="宋体" w:hAnsi="宋体"/>
                <w:bCs/>
                <w:lang w:val="en-US" w:eastAsia="zh-CN"/>
              </w:rPr>
              <w:t>50%</w:t>
            </w:r>
          </w:p>
        </w:tc>
      </w:tr>
      <w:tr w14:paraId="0F1C783D">
        <w:trPr>
          <w:trHeight w:val="340" w:hRule="atLeast"/>
          <w:jc w:val="center"/>
        </w:trPr>
        <w:tc>
          <w:tcPr>
            <w:tcW w:w="777" w:type="dxa"/>
            <w:vMerge w:val="continue"/>
            <w:tcBorders>
              <w:left w:val="single" w:color="auto" w:sz="12" w:space="0"/>
              <w:right w:val="single" w:color="auto" w:sz="4" w:space="0"/>
            </w:tcBorders>
            <w:shd w:val="clear" w:color="auto" w:fill="auto"/>
            <w:vAlign w:val="center"/>
          </w:tcPr>
          <w:p w14:paraId="265DAB05">
            <w:pPr>
              <w:pStyle w:val="14"/>
              <w:rPr>
                <w:b/>
              </w:rPr>
            </w:pPr>
          </w:p>
        </w:tc>
        <w:tc>
          <w:tcPr>
            <w:tcW w:w="794" w:type="dxa"/>
            <w:vMerge w:val="continue"/>
            <w:tcBorders>
              <w:left w:val="single" w:color="auto" w:sz="4" w:space="0"/>
            </w:tcBorders>
            <w:vAlign w:val="center"/>
          </w:tcPr>
          <w:p w14:paraId="30A9FA24">
            <w:pPr>
              <w:pStyle w:val="14"/>
              <w:rPr>
                <w:bCs/>
              </w:rPr>
            </w:pPr>
          </w:p>
        </w:tc>
        <w:tc>
          <w:tcPr>
            <w:tcW w:w="794" w:type="dxa"/>
            <w:vMerge w:val="continue"/>
            <w:tcBorders>
              <w:right w:val="double" w:color="auto" w:sz="4" w:space="0"/>
            </w:tcBorders>
            <w:shd w:val="clear" w:color="auto" w:fill="auto"/>
            <w:vAlign w:val="center"/>
          </w:tcPr>
          <w:p w14:paraId="16097D89">
            <w:pPr>
              <w:pStyle w:val="14"/>
              <w:rPr>
                <w:rFonts w:ascii="宋体" w:hAnsi="宋体"/>
              </w:rPr>
            </w:pPr>
          </w:p>
        </w:tc>
        <w:tc>
          <w:tcPr>
            <w:tcW w:w="4763" w:type="dxa"/>
            <w:vAlign w:val="center"/>
          </w:tcPr>
          <w:p w14:paraId="07BB70EA">
            <w:pPr>
              <w:pStyle w:val="14"/>
              <w:jc w:val="left"/>
              <w:rPr>
                <w:rFonts w:hint="default" w:ascii="宋体" w:hAnsi="宋体" w:eastAsia="宋体"/>
                <w:bCs/>
                <w:lang w:val="en-US" w:eastAsia="zh-CN"/>
              </w:rPr>
            </w:pPr>
            <w:r>
              <w:rPr>
                <w:rFonts w:hint="eastAsia" w:ascii="宋体" w:hAnsi="宋体"/>
                <w:bCs/>
                <w:lang w:val="en-US" w:eastAsia="zh-CN"/>
              </w:rPr>
              <w:t>7.</w:t>
            </w:r>
            <w:r>
              <w:rPr>
                <w:rFonts w:hint="eastAsia" w:cs="宋体" w:asciiTheme="minorEastAsia" w:hAnsiTheme="minorEastAsia" w:eastAsiaTheme="minorEastAsia"/>
                <w:bCs/>
                <w:color w:val="auto"/>
                <w:sz w:val="20"/>
                <w:szCs w:val="18"/>
                <w:lang w:val="en-US" w:eastAsia="zh-CN" w:bidi="ar-SA"/>
              </w:rPr>
              <w:t>能够坚守科学的儿童观，关爱幼儿，尊重幼儿人格，热爱学前教育事业和幼儿园教师职业，具有专业信念和专业精神。</w:t>
            </w:r>
          </w:p>
        </w:tc>
        <w:tc>
          <w:tcPr>
            <w:tcW w:w="1348" w:type="dxa"/>
            <w:tcBorders>
              <w:right w:val="single" w:color="auto" w:sz="12" w:space="0"/>
            </w:tcBorders>
            <w:vAlign w:val="center"/>
          </w:tcPr>
          <w:p w14:paraId="4A241328">
            <w:pPr>
              <w:pStyle w:val="14"/>
              <w:rPr>
                <w:rFonts w:hint="default" w:ascii="宋体" w:hAnsi="宋体" w:eastAsia="宋体"/>
                <w:bCs/>
                <w:lang w:val="en-US" w:eastAsia="zh-CN"/>
              </w:rPr>
            </w:pPr>
            <w:r>
              <w:rPr>
                <w:rFonts w:hint="eastAsia" w:ascii="宋体" w:hAnsi="宋体"/>
                <w:bCs/>
                <w:lang w:val="en-US" w:eastAsia="zh-CN"/>
              </w:rPr>
              <w:t>50%</w:t>
            </w:r>
          </w:p>
        </w:tc>
      </w:tr>
      <w:tr w14:paraId="0AA34D36">
        <w:trPr>
          <w:trHeight w:val="1332" w:hRule="atLeast"/>
          <w:jc w:val="center"/>
        </w:trPr>
        <w:tc>
          <w:tcPr>
            <w:tcW w:w="777" w:type="dxa"/>
            <w:vMerge w:val="restart"/>
            <w:tcBorders>
              <w:left w:val="single" w:color="auto" w:sz="12" w:space="0"/>
              <w:right w:val="single" w:color="auto" w:sz="4" w:space="0"/>
            </w:tcBorders>
            <w:shd w:val="clear" w:color="auto" w:fill="auto"/>
            <w:vAlign w:val="center"/>
          </w:tcPr>
          <w:p w14:paraId="430B7B58">
            <w:pPr>
              <w:pStyle w:val="14"/>
            </w:pPr>
            <w:r>
              <w:rPr>
                <w:rFonts w:hint="eastAsia" w:ascii="宋体" w:hAnsi="宋体"/>
                <w:bCs/>
              </w:rPr>
              <w:t>LO1</w:t>
            </w:r>
          </w:p>
        </w:tc>
        <w:tc>
          <w:tcPr>
            <w:tcW w:w="794" w:type="dxa"/>
            <w:vMerge w:val="restart"/>
            <w:tcBorders>
              <w:left w:val="single" w:color="auto" w:sz="4" w:space="0"/>
            </w:tcBorders>
            <w:vAlign w:val="center"/>
          </w:tcPr>
          <w:p w14:paraId="2456A696">
            <w:pPr>
              <w:pStyle w:val="14"/>
              <w:rPr>
                <w:rFonts w:cs="Times New Roman"/>
                <w:bCs/>
              </w:rPr>
            </w:pPr>
            <w:r>
              <w:rPr>
                <w:rFonts w:hint="eastAsia" w:ascii="宋体" w:hAnsi="宋体"/>
                <w:bCs/>
              </w:rPr>
              <w:t>②</w:t>
            </w:r>
          </w:p>
        </w:tc>
        <w:tc>
          <w:tcPr>
            <w:tcW w:w="794" w:type="dxa"/>
            <w:vMerge w:val="restart"/>
            <w:tcBorders>
              <w:right w:val="double" w:color="auto" w:sz="4" w:space="0"/>
            </w:tcBorders>
            <w:shd w:val="clear" w:color="auto" w:fill="auto"/>
            <w:vAlign w:val="center"/>
          </w:tcPr>
          <w:p w14:paraId="567D3846">
            <w:pPr>
              <w:pStyle w:val="14"/>
              <w:rPr>
                <w:rFonts w:ascii="宋体" w:hAnsi="宋体"/>
              </w:rPr>
            </w:pPr>
            <w:r>
              <w:rPr>
                <w:rFonts w:hint="eastAsia" w:ascii="宋体" w:hAnsi="宋体"/>
                <w:lang w:val="en-US" w:eastAsia="zh-CN"/>
              </w:rPr>
              <w:t>H</w:t>
            </w:r>
          </w:p>
        </w:tc>
        <w:tc>
          <w:tcPr>
            <w:tcW w:w="4763" w:type="dxa"/>
            <w:vAlign w:val="center"/>
          </w:tcPr>
          <w:p w14:paraId="25AEE91F">
            <w:pPr>
              <w:pStyle w:val="14"/>
              <w:jc w:val="left"/>
              <w:rPr>
                <w:rFonts w:ascii="宋体" w:hAnsi="宋体"/>
                <w:bCs/>
              </w:rPr>
            </w:pPr>
            <w:r>
              <w:rPr>
                <w:rFonts w:hint="eastAsia" w:asciiTheme="minorEastAsia" w:hAnsiTheme="minorEastAsia" w:eastAsiaTheme="minorEastAsia"/>
                <w:bCs/>
                <w:color w:val="auto"/>
                <w:sz w:val="20"/>
                <w:szCs w:val="18"/>
                <w:lang w:val="en-US" w:eastAsia="zh-CN"/>
              </w:rPr>
              <w:t>1.</w:t>
            </w:r>
            <w:r>
              <w:rPr>
                <w:rFonts w:hint="eastAsia" w:asciiTheme="minorEastAsia" w:hAnsiTheme="minorEastAsia" w:eastAsiaTheme="minorEastAsia"/>
                <w:bCs/>
                <w:color w:val="auto"/>
                <w:sz w:val="20"/>
                <w:szCs w:val="18"/>
              </w:rPr>
              <w:t>通过解释学前教育法规政策的基本理论，能够列出、复述、解释、比较幼儿园、教师、幼儿的权利、义务与法律责任</w:t>
            </w:r>
            <w:r>
              <w:rPr>
                <w:rFonts w:hint="eastAsia" w:asciiTheme="minorEastAsia" w:hAnsiTheme="minorEastAsia" w:eastAsiaTheme="minorEastAsia"/>
                <w:bCs/>
                <w:color w:val="auto"/>
                <w:sz w:val="20"/>
                <w:szCs w:val="18"/>
                <w:lang w:val="en-US" w:eastAsia="zh-CN"/>
              </w:rPr>
              <w:t>。</w:t>
            </w:r>
          </w:p>
        </w:tc>
        <w:tc>
          <w:tcPr>
            <w:tcW w:w="1348" w:type="dxa"/>
            <w:tcBorders>
              <w:right w:val="single" w:color="auto" w:sz="12" w:space="0"/>
            </w:tcBorders>
            <w:vAlign w:val="center"/>
          </w:tcPr>
          <w:p w14:paraId="432168B2">
            <w:pPr>
              <w:pStyle w:val="14"/>
              <w:rPr>
                <w:rFonts w:hint="default" w:ascii="宋体" w:hAnsi="宋体" w:eastAsia="宋体"/>
                <w:bCs/>
                <w:lang w:val="en-US" w:eastAsia="zh-CN"/>
              </w:rPr>
            </w:pPr>
            <w:r>
              <w:rPr>
                <w:rFonts w:hint="eastAsia" w:ascii="宋体" w:hAnsi="宋体"/>
                <w:bCs/>
                <w:lang w:val="en-US" w:eastAsia="zh-CN"/>
              </w:rPr>
              <w:t>100%</w:t>
            </w:r>
          </w:p>
        </w:tc>
      </w:tr>
      <w:tr w14:paraId="14292B60">
        <w:trPr>
          <w:trHeight w:val="340" w:hRule="atLeast"/>
          <w:jc w:val="center"/>
        </w:trPr>
        <w:tc>
          <w:tcPr>
            <w:tcW w:w="777" w:type="dxa"/>
            <w:vMerge w:val="restart"/>
            <w:tcBorders>
              <w:left w:val="single" w:color="auto" w:sz="12" w:space="0"/>
              <w:right w:val="single" w:color="auto" w:sz="4" w:space="0"/>
            </w:tcBorders>
            <w:shd w:val="clear" w:color="auto" w:fill="auto"/>
            <w:vAlign w:val="center"/>
          </w:tcPr>
          <w:p w14:paraId="3D4641B0">
            <w:pPr>
              <w:pStyle w:val="14"/>
              <w:jc w:val="center"/>
            </w:pPr>
            <w:r>
              <w:rPr>
                <w:rFonts w:hint="eastAsia" w:ascii="宋体" w:hAnsi="宋体"/>
                <w:bCs/>
              </w:rPr>
              <w:t>LO1</w:t>
            </w:r>
          </w:p>
        </w:tc>
        <w:tc>
          <w:tcPr>
            <w:tcW w:w="794" w:type="dxa"/>
            <w:vMerge w:val="restart"/>
            <w:tcBorders>
              <w:left w:val="single" w:color="auto" w:sz="4" w:space="0"/>
            </w:tcBorders>
            <w:vAlign w:val="center"/>
          </w:tcPr>
          <w:p w14:paraId="032C63A6">
            <w:pPr>
              <w:pStyle w:val="14"/>
              <w:jc w:val="center"/>
              <w:rPr>
                <w:rFonts w:cs="Times New Roman"/>
                <w:bCs/>
              </w:rPr>
            </w:pPr>
            <w:r>
              <w:rPr>
                <w:rFonts w:hint="eastAsia" w:ascii="宋体" w:hAnsi="宋体"/>
                <w:bCs/>
              </w:rPr>
              <w:t>③</w:t>
            </w:r>
          </w:p>
        </w:tc>
        <w:tc>
          <w:tcPr>
            <w:tcW w:w="794" w:type="dxa"/>
            <w:vMerge w:val="restart"/>
            <w:tcBorders>
              <w:right w:val="double" w:color="auto" w:sz="4" w:space="0"/>
            </w:tcBorders>
            <w:shd w:val="clear" w:color="auto" w:fill="auto"/>
            <w:vAlign w:val="center"/>
          </w:tcPr>
          <w:p w14:paraId="2E7F5AEA">
            <w:pPr>
              <w:pStyle w:val="14"/>
              <w:jc w:val="center"/>
              <w:rPr>
                <w:rFonts w:ascii="宋体" w:hAnsi="宋体"/>
              </w:rPr>
            </w:pPr>
            <w:r>
              <w:rPr>
                <w:rFonts w:hint="eastAsia" w:ascii="宋体" w:hAnsi="宋体"/>
                <w:lang w:val="en-US" w:eastAsia="zh-CN"/>
              </w:rPr>
              <w:t>H</w:t>
            </w:r>
          </w:p>
        </w:tc>
        <w:tc>
          <w:tcPr>
            <w:tcW w:w="4763" w:type="dxa"/>
            <w:vAlign w:val="center"/>
          </w:tcPr>
          <w:p w14:paraId="795BAD9D">
            <w:pPr>
              <w:pStyle w:val="14"/>
              <w:rPr>
                <w:rFonts w:ascii="宋体" w:hAnsi="宋体"/>
                <w:bCs/>
              </w:rPr>
            </w:pPr>
            <w:r>
              <w:rPr>
                <w:rFonts w:hint="eastAsia" w:asciiTheme="minorEastAsia" w:hAnsiTheme="minorEastAsia" w:eastAsiaTheme="minorEastAsia"/>
                <w:bCs/>
                <w:color w:val="auto"/>
                <w:sz w:val="20"/>
                <w:szCs w:val="18"/>
                <w:lang w:val="en-US" w:eastAsia="zh-CN"/>
              </w:rPr>
              <w:t>2.</w:t>
            </w:r>
            <w:r>
              <w:rPr>
                <w:rFonts w:hint="eastAsia" w:asciiTheme="minorEastAsia" w:hAnsiTheme="minorEastAsia" w:eastAsiaTheme="minorEastAsia"/>
                <w:bCs/>
                <w:color w:val="auto"/>
                <w:sz w:val="20"/>
                <w:szCs w:val="18"/>
              </w:rPr>
              <w:t>能够列出、复述、解释《纲要》《指南》等系列学前教育政策</w:t>
            </w:r>
            <w:r>
              <w:rPr>
                <w:rFonts w:hint="eastAsia" w:asciiTheme="minorEastAsia" w:hAnsiTheme="minorEastAsia" w:eastAsiaTheme="minorEastAsia"/>
                <w:bCs/>
                <w:color w:val="auto"/>
                <w:sz w:val="20"/>
                <w:szCs w:val="18"/>
                <w:lang w:eastAsia="zh-CN"/>
              </w:rPr>
              <w:t>。</w:t>
            </w:r>
          </w:p>
        </w:tc>
        <w:tc>
          <w:tcPr>
            <w:tcW w:w="1348" w:type="dxa"/>
            <w:tcBorders>
              <w:right w:val="single" w:color="auto" w:sz="12" w:space="0"/>
            </w:tcBorders>
            <w:vAlign w:val="center"/>
          </w:tcPr>
          <w:p w14:paraId="44670BCA">
            <w:pPr>
              <w:pStyle w:val="14"/>
              <w:rPr>
                <w:rFonts w:hint="default" w:ascii="宋体" w:hAnsi="宋体" w:eastAsia="宋体"/>
                <w:bCs/>
                <w:lang w:val="en-US" w:eastAsia="zh-CN"/>
              </w:rPr>
            </w:pPr>
            <w:r>
              <w:rPr>
                <w:rFonts w:hint="eastAsia" w:ascii="宋体" w:hAnsi="宋体"/>
                <w:bCs/>
                <w:lang w:val="en-US" w:eastAsia="zh-CN"/>
              </w:rPr>
              <w:t>15%</w:t>
            </w:r>
          </w:p>
        </w:tc>
      </w:tr>
      <w:tr w14:paraId="49C40F69">
        <w:trPr>
          <w:trHeight w:val="340" w:hRule="atLeast"/>
          <w:jc w:val="center"/>
        </w:trPr>
        <w:tc>
          <w:tcPr>
            <w:tcW w:w="777" w:type="dxa"/>
            <w:vMerge w:val="continue"/>
            <w:tcBorders>
              <w:left w:val="single" w:color="auto" w:sz="12" w:space="0"/>
              <w:right w:val="single" w:color="auto" w:sz="4" w:space="0"/>
            </w:tcBorders>
            <w:shd w:val="clear" w:color="auto" w:fill="auto"/>
          </w:tcPr>
          <w:p w14:paraId="38AB1C17">
            <w:pPr>
              <w:pStyle w:val="14"/>
              <w:rPr>
                <w:rFonts w:hint="eastAsia" w:ascii="宋体" w:hAnsi="宋体"/>
                <w:bCs/>
              </w:rPr>
            </w:pPr>
          </w:p>
        </w:tc>
        <w:tc>
          <w:tcPr>
            <w:tcW w:w="794" w:type="dxa"/>
            <w:vMerge w:val="continue"/>
            <w:tcBorders>
              <w:left w:val="single" w:color="auto" w:sz="4" w:space="0"/>
            </w:tcBorders>
            <w:vAlign w:val="center"/>
          </w:tcPr>
          <w:p w14:paraId="7CB307D5">
            <w:pPr>
              <w:pStyle w:val="14"/>
              <w:rPr>
                <w:rFonts w:hint="eastAsia" w:ascii="宋体" w:hAnsi="宋体"/>
                <w:bCs/>
              </w:rPr>
            </w:pPr>
          </w:p>
        </w:tc>
        <w:tc>
          <w:tcPr>
            <w:tcW w:w="794" w:type="dxa"/>
            <w:vMerge w:val="continue"/>
            <w:tcBorders>
              <w:right w:val="double" w:color="auto" w:sz="4" w:space="0"/>
            </w:tcBorders>
            <w:shd w:val="clear" w:color="auto" w:fill="auto"/>
            <w:vAlign w:val="center"/>
          </w:tcPr>
          <w:p w14:paraId="2B84D674">
            <w:pPr>
              <w:pStyle w:val="14"/>
              <w:rPr>
                <w:rFonts w:hint="eastAsia" w:ascii="宋体" w:hAnsi="宋体"/>
                <w:lang w:val="en-US" w:eastAsia="zh-CN"/>
              </w:rPr>
            </w:pPr>
          </w:p>
        </w:tc>
        <w:tc>
          <w:tcPr>
            <w:tcW w:w="4763" w:type="dxa"/>
            <w:vAlign w:val="center"/>
          </w:tcPr>
          <w:p w14:paraId="53CF8393">
            <w:pPr>
              <w:pStyle w:val="14"/>
              <w:rPr>
                <w:rFonts w:hint="eastAsia" w:ascii="宋体" w:hAnsi="宋体"/>
                <w:bCs/>
                <w:lang w:val="en-US" w:eastAsia="zh-CN"/>
              </w:rPr>
            </w:pPr>
            <w:r>
              <w:rPr>
                <w:rFonts w:hint="eastAsia" w:ascii="宋体" w:hAnsi="宋体"/>
                <w:bCs/>
                <w:lang w:val="en-US" w:eastAsia="zh-CN"/>
              </w:rPr>
              <w:t>3.</w:t>
            </w:r>
            <w:r>
              <w:rPr>
                <w:rFonts w:hint="eastAsia" w:asciiTheme="minorEastAsia" w:hAnsiTheme="minorEastAsia" w:eastAsiaTheme="minorEastAsia"/>
                <w:bCs/>
                <w:color w:val="auto"/>
                <w:sz w:val="20"/>
                <w:szCs w:val="18"/>
              </w:rPr>
              <w:t>能够列出、复述、解释我国学前教育法规政策规定的幼儿园环境创设、一日生活组织与实施、保育、幼儿园集体教学与区域活动等教育活动、安全应急、家园社区共育以及幼儿园和班级管理等保育教育环节的基本原则、目标、任务、内容、要求、技能和方法。</w:t>
            </w:r>
          </w:p>
        </w:tc>
        <w:tc>
          <w:tcPr>
            <w:tcW w:w="1348" w:type="dxa"/>
            <w:tcBorders>
              <w:right w:val="single" w:color="auto" w:sz="12" w:space="0"/>
            </w:tcBorders>
            <w:vAlign w:val="center"/>
          </w:tcPr>
          <w:p w14:paraId="547D459B">
            <w:pPr>
              <w:pStyle w:val="14"/>
              <w:rPr>
                <w:rFonts w:hint="default" w:ascii="宋体" w:hAnsi="宋体" w:eastAsia="宋体"/>
                <w:bCs/>
                <w:lang w:val="en-US" w:eastAsia="zh-CN"/>
              </w:rPr>
            </w:pPr>
            <w:r>
              <w:rPr>
                <w:rFonts w:hint="eastAsia" w:ascii="宋体" w:hAnsi="宋体"/>
                <w:bCs/>
                <w:lang w:val="en-US" w:eastAsia="zh-CN"/>
              </w:rPr>
              <w:t>20%</w:t>
            </w:r>
          </w:p>
        </w:tc>
      </w:tr>
      <w:tr w14:paraId="7A392BEE">
        <w:trPr>
          <w:trHeight w:val="340" w:hRule="atLeast"/>
          <w:jc w:val="center"/>
        </w:trPr>
        <w:tc>
          <w:tcPr>
            <w:tcW w:w="777" w:type="dxa"/>
            <w:vMerge w:val="continue"/>
            <w:tcBorders>
              <w:left w:val="single" w:color="auto" w:sz="12" w:space="0"/>
              <w:right w:val="single" w:color="auto" w:sz="4" w:space="0"/>
            </w:tcBorders>
            <w:shd w:val="clear" w:color="auto" w:fill="auto"/>
          </w:tcPr>
          <w:p w14:paraId="0570D43A">
            <w:pPr>
              <w:pStyle w:val="14"/>
              <w:rPr>
                <w:rFonts w:hint="eastAsia" w:ascii="宋体" w:hAnsi="宋体"/>
                <w:bCs/>
              </w:rPr>
            </w:pPr>
          </w:p>
        </w:tc>
        <w:tc>
          <w:tcPr>
            <w:tcW w:w="794" w:type="dxa"/>
            <w:vMerge w:val="continue"/>
            <w:tcBorders>
              <w:left w:val="single" w:color="auto" w:sz="4" w:space="0"/>
            </w:tcBorders>
            <w:vAlign w:val="center"/>
          </w:tcPr>
          <w:p w14:paraId="27F62CFA">
            <w:pPr>
              <w:pStyle w:val="14"/>
              <w:rPr>
                <w:rFonts w:hint="eastAsia" w:ascii="宋体" w:hAnsi="宋体"/>
                <w:bCs/>
              </w:rPr>
            </w:pPr>
          </w:p>
        </w:tc>
        <w:tc>
          <w:tcPr>
            <w:tcW w:w="794" w:type="dxa"/>
            <w:vMerge w:val="continue"/>
            <w:tcBorders>
              <w:right w:val="double" w:color="auto" w:sz="4" w:space="0"/>
            </w:tcBorders>
            <w:shd w:val="clear" w:color="auto" w:fill="auto"/>
            <w:vAlign w:val="center"/>
          </w:tcPr>
          <w:p w14:paraId="5AA2E2B8">
            <w:pPr>
              <w:pStyle w:val="14"/>
              <w:rPr>
                <w:rFonts w:hint="eastAsia" w:ascii="宋体" w:hAnsi="宋体"/>
                <w:lang w:val="en-US" w:eastAsia="zh-CN"/>
              </w:rPr>
            </w:pPr>
          </w:p>
        </w:tc>
        <w:tc>
          <w:tcPr>
            <w:tcW w:w="4763" w:type="dxa"/>
            <w:vAlign w:val="center"/>
          </w:tcPr>
          <w:p w14:paraId="7374175A">
            <w:pPr>
              <w:pStyle w:val="14"/>
              <w:jc w:val="left"/>
              <w:rPr>
                <w:rFonts w:hint="eastAsia" w:ascii="宋体" w:hAnsi="宋体"/>
                <w:bCs/>
                <w:lang w:val="en-US" w:eastAsia="zh-CN"/>
              </w:rPr>
            </w:pPr>
            <w:r>
              <w:rPr>
                <w:rFonts w:hint="eastAsia" w:ascii="宋体" w:hAnsi="宋体"/>
                <w:bCs/>
                <w:lang w:val="en-US" w:eastAsia="zh-CN"/>
              </w:rPr>
              <w:t>4.能够列出、解释、运用学前教育法律救济的基本原则、程序、方法，能够识别保教活动中的不安全因素并能紧急应对处置，不断提升运用法律政策知识保护幼儿园、幼儿和本人合法权益的能力。</w:t>
            </w:r>
          </w:p>
        </w:tc>
        <w:tc>
          <w:tcPr>
            <w:tcW w:w="1348" w:type="dxa"/>
            <w:tcBorders>
              <w:right w:val="single" w:color="auto" w:sz="12" w:space="0"/>
            </w:tcBorders>
            <w:vAlign w:val="center"/>
          </w:tcPr>
          <w:p w14:paraId="6E0D5AE2">
            <w:pPr>
              <w:pStyle w:val="14"/>
              <w:rPr>
                <w:rFonts w:ascii="宋体" w:hAnsi="宋体"/>
                <w:bCs/>
              </w:rPr>
            </w:pPr>
            <w:r>
              <w:rPr>
                <w:rFonts w:hint="eastAsia" w:ascii="宋体" w:hAnsi="宋体"/>
                <w:bCs/>
                <w:lang w:val="en-US" w:eastAsia="zh-CN"/>
              </w:rPr>
              <w:t>15%</w:t>
            </w:r>
          </w:p>
        </w:tc>
      </w:tr>
      <w:tr w14:paraId="465A32E2">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center"/>
          </w:tcPr>
          <w:p w14:paraId="7B13123C">
            <w:pPr>
              <w:pStyle w:val="14"/>
              <w:jc w:val="center"/>
              <w:rPr>
                <w:rFonts w:hint="eastAsia" w:eastAsia="宋体"/>
                <w:lang w:eastAsia="zh-CN"/>
              </w:rPr>
            </w:pPr>
            <w:r>
              <w:rPr>
                <w:rFonts w:hint="eastAsia" w:ascii="宋体" w:hAnsi="宋体"/>
                <w:bCs/>
              </w:rPr>
              <w:t>LO</w:t>
            </w:r>
            <w:r>
              <w:rPr>
                <w:rFonts w:hint="eastAsia" w:ascii="宋体" w:hAnsi="宋体"/>
                <w:bCs/>
                <w:lang w:val="en-US" w:eastAsia="zh-CN"/>
              </w:rPr>
              <w:t>9</w:t>
            </w:r>
          </w:p>
        </w:tc>
        <w:tc>
          <w:tcPr>
            <w:tcW w:w="794" w:type="dxa"/>
            <w:tcBorders>
              <w:left w:val="single" w:color="auto" w:sz="4" w:space="0"/>
              <w:bottom w:val="single" w:color="auto" w:sz="12" w:space="0"/>
            </w:tcBorders>
            <w:vAlign w:val="center"/>
          </w:tcPr>
          <w:p w14:paraId="580670A0">
            <w:pPr>
              <w:pStyle w:val="14"/>
              <w:jc w:val="center"/>
              <w:rPr>
                <w:rFonts w:hint="eastAsia" w:ascii="宋体" w:hAnsi="宋体"/>
                <w:bCs/>
              </w:rPr>
            </w:pPr>
            <w:r>
              <w:rPr>
                <w:rFonts w:hint="eastAsia" w:ascii="宋体" w:hAnsi="宋体"/>
                <w:bCs/>
              </w:rPr>
              <w:t>②</w:t>
            </w:r>
          </w:p>
        </w:tc>
        <w:tc>
          <w:tcPr>
            <w:tcW w:w="794" w:type="dxa"/>
            <w:tcBorders>
              <w:bottom w:val="single" w:color="auto" w:sz="12" w:space="0"/>
              <w:right w:val="double" w:color="auto" w:sz="4" w:space="0"/>
            </w:tcBorders>
            <w:shd w:val="clear" w:color="auto" w:fill="auto"/>
            <w:vAlign w:val="center"/>
          </w:tcPr>
          <w:p w14:paraId="5540C9EB">
            <w:pPr>
              <w:pStyle w:val="14"/>
              <w:jc w:val="center"/>
              <w:rPr>
                <w:rFonts w:hint="eastAsia" w:ascii="宋体" w:hAnsi="宋体" w:eastAsia="宋体"/>
                <w:lang w:val="en-US" w:eastAsia="zh-CN"/>
              </w:rPr>
            </w:pPr>
            <w:r>
              <w:rPr>
                <w:rFonts w:hint="eastAsia" w:ascii="宋体" w:hAnsi="宋体"/>
                <w:lang w:val="en-US" w:eastAsia="zh-CN"/>
              </w:rPr>
              <w:t>M</w:t>
            </w:r>
          </w:p>
        </w:tc>
        <w:tc>
          <w:tcPr>
            <w:tcW w:w="4763" w:type="dxa"/>
            <w:tcBorders>
              <w:bottom w:val="single" w:color="auto" w:sz="12" w:space="0"/>
            </w:tcBorders>
            <w:vAlign w:val="center"/>
          </w:tcPr>
          <w:p w14:paraId="518C6119">
            <w:pPr>
              <w:pStyle w:val="14"/>
              <w:jc w:val="left"/>
              <w:rPr>
                <w:rFonts w:ascii="宋体" w:hAnsi="宋体"/>
                <w:bCs/>
              </w:rPr>
            </w:pPr>
            <w:r>
              <w:rPr>
                <w:rFonts w:hint="eastAsia" w:cs="宋体" w:asciiTheme="minorEastAsia" w:hAnsiTheme="minorEastAsia" w:eastAsiaTheme="minorEastAsia"/>
                <w:bCs/>
                <w:color w:val="auto"/>
                <w:sz w:val="20"/>
                <w:szCs w:val="18"/>
                <w:lang w:val="en-US" w:eastAsia="zh-CN" w:bidi="ar-SA"/>
              </w:rPr>
              <w:t>5.能够运用幼儿教育的政策、法律、法规解决办园实践中的具体问题。</w:t>
            </w:r>
          </w:p>
        </w:tc>
        <w:tc>
          <w:tcPr>
            <w:tcW w:w="1348" w:type="dxa"/>
            <w:tcBorders>
              <w:bottom w:val="single" w:color="auto" w:sz="12" w:space="0"/>
              <w:right w:val="single" w:color="auto" w:sz="12" w:space="0"/>
            </w:tcBorders>
            <w:vAlign w:val="center"/>
          </w:tcPr>
          <w:p w14:paraId="04A847F9">
            <w:pPr>
              <w:pStyle w:val="14"/>
              <w:rPr>
                <w:rFonts w:hint="default" w:ascii="宋体" w:hAnsi="宋体" w:eastAsia="宋体"/>
                <w:bCs/>
                <w:lang w:val="en-US" w:eastAsia="zh-CN"/>
              </w:rPr>
            </w:pPr>
            <w:r>
              <w:rPr>
                <w:rFonts w:hint="eastAsia" w:ascii="宋体" w:hAnsi="宋体"/>
                <w:bCs/>
                <w:lang w:val="en-US" w:eastAsia="zh-CN"/>
              </w:rPr>
              <w:t>100%</w:t>
            </w:r>
          </w:p>
        </w:tc>
      </w:tr>
    </w:tbl>
    <w:p w14:paraId="056E5457">
      <w:pPr>
        <w:pStyle w:val="16"/>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281E1F5">
      <w:pPr>
        <w:pStyle w:val="17"/>
        <w:spacing w:before="81" w:after="163"/>
      </w:pPr>
      <w:r>
        <w:rPr>
          <w:rFonts w:hint="eastAsia"/>
        </w:rPr>
        <w:t>（一）各教学单元预期学习成果与教学内容</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2C4F547">
        <w:tc>
          <w:tcPr>
            <w:tcW w:w="8296" w:type="dxa"/>
          </w:tcPr>
          <w:p w14:paraId="7C3BD5BB">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bookmarkStart w:id="0" w:name="OLE_LINK6"/>
            <w:bookmarkStart w:id="1" w:name="OLE_LINK5"/>
            <w:r>
              <w:rPr>
                <w:rFonts w:hint="eastAsia" w:asciiTheme="minorEastAsia" w:hAnsiTheme="minorEastAsia" w:eastAsiaTheme="minorEastAsia" w:cstheme="minorEastAsia"/>
                <w:sz w:val="20"/>
                <w:szCs w:val="20"/>
                <w:lang w:val="en-US" w:eastAsia="zh-CN"/>
              </w:rPr>
              <w:t>第一单元  导论</w:t>
            </w:r>
          </w:p>
          <w:p w14:paraId="0AD0D9BE">
            <w:pPr>
              <w:widowControl w:val="0"/>
              <w:adjustRightInd w:val="0"/>
              <w:snapToGrid w:val="0"/>
              <w:ind w:left="-50" w:right="-50"/>
              <w:jc w:val="both"/>
              <w:rPr>
                <w:rFonts w:hint="eastAsia" w:ascii="仿宋_GB2312" w:hAnsi="宋体" w:eastAsia="仿宋_GB2312"/>
                <w:bCs/>
                <w:sz w:val="22"/>
                <w:lang w:val="en-US" w:eastAsia="zh-CN"/>
              </w:rPr>
            </w:pPr>
            <w:r>
              <w:rPr>
                <w:rFonts w:hint="eastAsia" w:ascii="仿宋_GB2312" w:hAnsi="宋体" w:eastAsia="仿宋_GB2312"/>
                <w:bCs/>
                <w:sz w:val="22"/>
              </w:rPr>
              <w:t>知识目标：1.</w:t>
            </w:r>
            <w:r>
              <w:rPr>
                <w:rFonts w:hint="eastAsia" w:ascii="仿宋_GB2312" w:hAnsi="宋体" w:eastAsia="仿宋_GB2312"/>
                <w:bCs/>
                <w:sz w:val="22"/>
                <w:lang w:val="en-US" w:eastAsia="zh-CN"/>
              </w:rPr>
              <w:t>掌握学前教育政策与法规的含义。</w:t>
            </w:r>
          </w:p>
          <w:p w14:paraId="24753BF8">
            <w:pPr>
              <w:widowControl w:val="0"/>
              <w:adjustRightInd w:val="0"/>
              <w:snapToGrid w:val="0"/>
              <w:ind w:left="-50" w:right="-50" w:firstLine="1100" w:firstLineChars="500"/>
              <w:jc w:val="both"/>
              <w:rPr>
                <w:rFonts w:hint="eastAsia" w:ascii="仿宋_GB2312" w:hAnsi="宋体" w:eastAsia="仿宋_GB2312"/>
                <w:bCs/>
                <w:sz w:val="22"/>
              </w:rPr>
            </w:pPr>
            <w:r>
              <w:rPr>
                <w:rFonts w:hint="eastAsia" w:ascii="仿宋_GB2312" w:hAnsi="宋体" w:eastAsia="仿宋_GB2312"/>
                <w:bCs/>
                <w:sz w:val="22"/>
              </w:rPr>
              <w:t>2.</w:t>
            </w:r>
            <w:r>
              <w:rPr>
                <w:rFonts w:hint="eastAsia" w:ascii="仿宋_GB2312" w:hAnsi="宋体" w:eastAsia="仿宋_GB2312"/>
                <w:bCs/>
                <w:sz w:val="22"/>
                <w:lang w:val="en-US" w:eastAsia="zh-CN"/>
              </w:rPr>
              <w:t>理解学前教育政策与法规的区别和联系。</w:t>
            </w:r>
          </w:p>
          <w:p w14:paraId="07F50DD6">
            <w:pPr>
              <w:widowControl w:val="0"/>
              <w:adjustRightInd w:val="0"/>
              <w:snapToGrid w:val="0"/>
              <w:ind w:left="-50" w:right="-50" w:firstLine="1100" w:firstLineChars="500"/>
              <w:jc w:val="both"/>
              <w:rPr>
                <w:rFonts w:hint="eastAsia" w:ascii="仿宋_GB2312" w:hAnsi="宋体" w:eastAsia="仿宋_GB2312"/>
                <w:bCs/>
                <w:sz w:val="22"/>
              </w:rPr>
            </w:pPr>
            <w:r>
              <w:rPr>
                <w:rFonts w:hint="eastAsia" w:ascii="仿宋_GB2312" w:hAnsi="宋体" w:eastAsia="仿宋_GB2312"/>
                <w:bCs/>
                <w:sz w:val="22"/>
              </w:rPr>
              <w:t>3.</w:t>
            </w:r>
            <w:r>
              <w:rPr>
                <w:rFonts w:hint="eastAsia" w:ascii="仿宋_GB2312" w:hAnsi="宋体" w:eastAsia="仿宋_GB2312"/>
                <w:bCs/>
                <w:sz w:val="22"/>
                <w:lang w:val="en-US" w:eastAsia="zh-CN"/>
              </w:rPr>
              <w:t>掌握学前教育政策与法规的重要意义。</w:t>
            </w:r>
          </w:p>
          <w:p w14:paraId="6583E1A7">
            <w:pPr>
              <w:widowControl w:val="0"/>
              <w:adjustRightInd w:val="0"/>
              <w:snapToGrid w:val="0"/>
              <w:ind w:left="-50" w:right="-50"/>
              <w:jc w:val="both"/>
              <w:rPr>
                <w:rFonts w:hint="eastAsia" w:ascii="仿宋_GB2312" w:hAnsi="宋体" w:eastAsia="仿宋_GB2312"/>
                <w:bCs/>
                <w:sz w:val="22"/>
              </w:rPr>
            </w:pPr>
            <w:r>
              <w:rPr>
                <w:rFonts w:hint="eastAsia" w:ascii="仿宋_GB2312" w:hAnsi="宋体" w:eastAsia="仿宋_GB2312"/>
                <w:bCs/>
                <w:sz w:val="22"/>
              </w:rPr>
              <w:t>能力目标：1.</w:t>
            </w:r>
            <w:r>
              <w:rPr>
                <w:rFonts w:hint="eastAsia" w:ascii="仿宋_GB2312" w:hAnsi="宋体" w:eastAsia="仿宋_GB2312"/>
                <w:bCs/>
                <w:sz w:val="22"/>
                <w:lang w:val="en-US" w:eastAsia="zh-CN"/>
              </w:rPr>
              <w:t>通过历史回顾，学会梳理我国学前教育政策与法规的发展历史。</w:t>
            </w:r>
          </w:p>
          <w:p w14:paraId="2BBAC5D1">
            <w:pPr>
              <w:widowControl w:val="0"/>
              <w:adjustRightInd w:val="0"/>
              <w:snapToGrid w:val="0"/>
              <w:ind w:left="-50" w:right="-50" w:firstLine="1100" w:firstLineChars="500"/>
              <w:jc w:val="both"/>
              <w:rPr>
                <w:rFonts w:hint="eastAsia" w:ascii="仿宋_GB2312" w:hAnsi="宋体" w:eastAsia="仿宋_GB2312"/>
                <w:bCs/>
                <w:sz w:val="22"/>
              </w:rPr>
            </w:pPr>
            <w:r>
              <w:rPr>
                <w:rFonts w:hint="eastAsia" w:ascii="仿宋_GB2312" w:hAnsi="宋体" w:eastAsia="仿宋_GB2312"/>
                <w:bCs/>
                <w:sz w:val="22"/>
              </w:rPr>
              <w:t>2.</w:t>
            </w:r>
            <w:r>
              <w:rPr>
                <w:rFonts w:hint="eastAsia" w:ascii="仿宋_GB2312" w:hAnsi="宋体" w:eastAsia="仿宋_GB2312"/>
                <w:bCs/>
                <w:sz w:val="22"/>
                <w:lang w:val="en-US" w:eastAsia="zh-CN"/>
              </w:rPr>
              <w:t>初步学会学前教育政策与法规学习的一般方法。</w:t>
            </w:r>
          </w:p>
          <w:p w14:paraId="7799625B">
            <w:pPr>
              <w:widowControl w:val="0"/>
              <w:adjustRightInd w:val="0"/>
              <w:snapToGrid w:val="0"/>
              <w:ind w:left="-50" w:right="-50"/>
              <w:jc w:val="both"/>
              <w:rPr>
                <w:rFonts w:hint="eastAsia" w:ascii="仿宋_GB2312" w:hAnsi="宋体" w:eastAsia="仿宋_GB2312"/>
                <w:bCs/>
                <w:sz w:val="22"/>
              </w:rPr>
            </w:pPr>
            <w:r>
              <w:rPr>
                <w:rFonts w:hint="eastAsia" w:ascii="仿宋_GB2312" w:hAnsi="宋体" w:eastAsia="仿宋_GB2312"/>
                <w:bCs/>
                <w:sz w:val="22"/>
              </w:rPr>
              <w:t>思政目标：1.</w:t>
            </w:r>
            <w:r>
              <w:rPr>
                <w:rFonts w:hint="eastAsia" w:ascii="仿宋_GB2312" w:hAnsi="宋体" w:eastAsia="仿宋_GB2312"/>
                <w:bCs/>
                <w:sz w:val="22"/>
                <w:lang w:val="en-US" w:eastAsia="zh-CN"/>
              </w:rPr>
              <w:t>树立依法执教的意识，掌握有温度的学前教育政策</w:t>
            </w:r>
            <w:r>
              <w:rPr>
                <w:rFonts w:hint="eastAsia" w:ascii="仿宋_GB2312" w:hAnsi="宋体" w:eastAsia="仿宋_GB2312"/>
                <w:bCs/>
                <w:sz w:val="22"/>
              </w:rPr>
              <w:t>。</w:t>
            </w:r>
          </w:p>
          <w:p w14:paraId="6C45C16F">
            <w:pPr>
              <w:widowControl w:val="0"/>
              <w:adjustRightInd w:val="0"/>
              <w:snapToGrid w:val="0"/>
              <w:ind w:left="-50" w:right="-50" w:firstLine="1100" w:firstLineChars="500"/>
              <w:jc w:val="both"/>
              <w:rPr>
                <w:rFonts w:hint="eastAsia" w:ascii="仿宋_GB2312" w:hAnsi="宋体" w:eastAsia="仿宋_GB2312"/>
                <w:bCs/>
                <w:sz w:val="22"/>
              </w:rPr>
            </w:pPr>
            <w:r>
              <w:rPr>
                <w:rFonts w:hint="eastAsia" w:ascii="仿宋_GB2312" w:hAnsi="宋体" w:eastAsia="仿宋_GB2312"/>
                <w:bCs/>
                <w:sz w:val="22"/>
              </w:rPr>
              <w:t>2.明白</w:t>
            </w:r>
            <w:r>
              <w:rPr>
                <w:rFonts w:hint="eastAsia" w:ascii="仿宋_GB2312" w:hAnsi="宋体" w:eastAsia="仿宋_GB2312"/>
                <w:bCs/>
                <w:sz w:val="22"/>
                <w:lang w:val="en-US" w:eastAsia="zh-CN"/>
              </w:rPr>
              <w:t>积极行使自己的职责与义务来保障幼儿的权利，强调学前教育政策的重要意义</w:t>
            </w:r>
            <w:r>
              <w:rPr>
                <w:rFonts w:hint="eastAsia" w:ascii="仿宋_GB2312" w:hAnsi="宋体" w:eastAsia="仿宋_GB2312"/>
                <w:bCs/>
                <w:sz w:val="22"/>
              </w:rPr>
              <w:t>。</w:t>
            </w:r>
          </w:p>
          <w:p w14:paraId="22521475">
            <w:pPr>
              <w:pStyle w:val="14"/>
              <w:widowControl w:val="0"/>
              <w:jc w:val="left"/>
              <w:rPr>
                <w:rFonts w:ascii="宋体" w:hAnsi="宋体"/>
                <w:bCs/>
              </w:rPr>
            </w:pPr>
            <w:r>
              <w:rPr>
                <w:rFonts w:hint="eastAsia" w:ascii="仿宋_GB2312" w:hAnsi="宋体" w:eastAsia="仿宋_GB2312"/>
                <w:bCs/>
                <w:sz w:val="22"/>
              </w:rPr>
              <w:t>3.</w:t>
            </w:r>
            <w:r>
              <w:rPr>
                <w:rFonts w:hint="eastAsia" w:ascii="仿宋_GB2312" w:hAnsi="宋体" w:eastAsia="仿宋_GB2312"/>
                <w:bCs/>
                <w:sz w:val="22"/>
                <w:lang w:val="en-US" w:eastAsia="zh-CN"/>
              </w:rPr>
              <w:t>重视在学前期形成谦让、分享、合作、自律等良好的社会品质有助于其积极适应未来环境、健康和谐成长。</w:t>
            </w:r>
          </w:p>
          <w:p w14:paraId="1BCCCF06">
            <w:pPr>
              <w:widowControl w:val="0"/>
              <w:snapToGrid w:val="0"/>
              <w:spacing w:line="288" w:lineRule="auto"/>
              <w:ind w:right="26"/>
              <w:jc w:val="both"/>
              <w:rPr>
                <w:rFonts w:ascii="仿宋_GB2312" w:eastAsia="仿宋_GB2312"/>
                <w:bCs/>
                <w:sz w:val="22"/>
              </w:rPr>
            </w:pPr>
            <w:r>
              <w:rPr>
                <w:rFonts w:hint="eastAsia" w:ascii="仿宋_GB2312" w:eastAsia="仿宋_GB2312"/>
                <w:bCs/>
                <w:sz w:val="22"/>
              </w:rPr>
              <w:t>重点：</w:t>
            </w:r>
            <w:r>
              <w:rPr>
                <w:rFonts w:hint="eastAsia" w:ascii="仿宋_GB2312" w:hAnsi="宋体" w:eastAsia="仿宋_GB2312"/>
                <w:bCs/>
                <w:sz w:val="22"/>
                <w:lang w:val="en-US" w:eastAsia="zh-CN"/>
              </w:rPr>
              <w:t>掌握学前教育政策与法规的含义。</w:t>
            </w:r>
          </w:p>
          <w:p w14:paraId="37B6069D">
            <w:pPr>
              <w:pStyle w:val="14"/>
              <w:widowControl w:val="0"/>
              <w:jc w:val="left"/>
              <w:rPr>
                <w:rFonts w:ascii="仿宋" w:hAnsi="仿宋" w:eastAsia="仿宋" w:cs="仿宋"/>
              </w:rPr>
            </w:pPr>
            <w:r>
              <w:rPr>
                <w:rFonts w:hint="eastAsia" w:ascii="仿宋_GB2312" w:eastAsia="仿宋_GB2312"/>
                <w:bCs/>
                <w:sz w:val="22"/>
              </w:rPr>
              <w:t>难点：</w:t>
            </w:r>
            <w:r>
              <w:rPr>
                <w:rFonts w:hint="eastAsia" w:ascii="仿宋_GB2312" w:hAnsi="宋体" w:eastAsia="仿宋_GB2312"/>
                <w:bCs/>
                <w:sz w:val="22"/>
                <w:lang w:val="en-US" w:eastAsia="zh-CN"/>
              </w:rPr>
              <w:t>分析学前教育政策与法规的重要意义。</w:t>
            </w:r>
          </w:p>
        </w:tc>
      </w:tr>
      <w:tr w14:paraId="3499BBC1">
        <w:tc>
          <w:tcPr>
            <w:tcW w:w="8296" w:type="dxa"/>
          </w:tcPr>
          <w:p w14:paraId="70DA6279">
            <w:pPr>
              <w:widowControl w:val="0"/>
              <w:numPr>
                <w:ilvl w:val="0"/>
                <w:numId w:val="0"/>
              </w:numPr>
              <w:snapToGrid w:val="0"/>
              <w:spacing w:line="288" w:lineRule="auto"/>
              <w:ind w:right="26" w:rightChars="0"/>
              <w:jc w:val="left"/>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第二单元   幼儿和学前教育政策法规（一）</w:t>
            </w:r>
          </w:p>
          <w:p w14:paraId="30639205">
            <w:pPr>
              <w:widowControl w:val="0"/>
              <w:adjustRightInd w:val="0"/>
              <w:snapToGrid w:val="0"/>
              <w:ind w:left="-50" w:right="-50"/>
              <w:jc w:val="both"/>
              <w:rPr>
                <w:rFonts w:hint="eastAsia" w:ascii="方正仿宋_GB2312" w:hAnsi="方正仿宋_GB2312" w:eastAsia="方正仿宋_GB2312" w:cs="方正仿宋_GB2312"/>
                <w:bCs/>
                <w:sz w:val="22"/>
                <w:szCs w:val="22"/>
                <w:lang w:val="en-US" w:eastAsia="zh-CN"/>
              </w:rPr>
            </w:pPr>
            <w:r>
              <w:rPr>
                <w:rFonts w:hint="eastAsia" w:ascii="方正仿宋_GB2312" w:hAnsi="方正仿宋_GB2312" w:eastAsia="方正仿宋_GB2312" w:cs="方正仿宋_GB2312"/>
                <w:bCs/>
                <w:sz w:val="22"/>
                <w:szCs w:val="22"/>
              </w:rPr>
              <w:t>知识目标：1.</w:t>
            </w:r>
            <w:r>
              <w:rPr>
                <w:rFonts w:hint="eastAsia" w:ascii="方正仿宋_GB2312" w:hAnsi="方正仿宋_GB2312" w:eastAsia="方正仿宋_GB2312" w:cs="方正仿宋_GB2312"/>
                <w:sz w:val="22"/>
                <w:szCs w:val="22"/>
                <w:lang w:val="en-US" w:eastAsia="zh-CN"/>
              </w:rPr>
              <w:t>熟悉幼儿在学前教育中的法律地位；</w:t>
            </w:r>
          </w:p>
          <w:p w14:paraId="2F43874E">
            <w:pPr>
              <w:widowControl w:val="0"/>
              <w:adjustRightInd w:val="0"/>
              <w:snapToGrid w:val="0"/>
              <w:ind w:left="-50" w:right="-50" w:firstLine="1100" w:firstLineChars="500"/>
              <w:jc w:val="both"/>
              <w:rPr>
                <w:rFonts w:hint="eastAsia" w:ascii="方正仿宋_GB2312" w:hAnsi="方正仿宋_GB2312" w:eastAsia="方正仿宋_GB2312" w:cs="方正仿宋_GB2312"/>
                <w:bCs/>
                <w:sz w:val="22"/>
                <w:szCs w:val="22"/>
              </w:rPr>
            </w:pPr>
            <w:r>
              <w:rPr>
                <w:rFonts w:hint="eastAsia" w:ascii="方正仿宋_GB2312" w:hAnsi="方正仿宋_GB2312" w:eastAsia="方正仿宋_GB2312" w:cs="方正仿宋_GB2312"/>
                <w:bCs/>
                <w:sz w:val="22"/>
                <w:szCs w:val="22"/>
              </w:rPr>
              <w:t>2.</w:t>
            </w:r>
            <w:r>
              <w:rPr>
                <w:rFonts w:hint="eastAsia" w:ascii="方正仿宋_GB2312" w:hAnsi="方正仿宋_GB2312" w:eastAsia="方正仿宋_GB2312" w:cs="方正仿宋_GB2312"/>
                <w:bCs/>
                <w:sz w:val="22"/>
                <w:szCs w:val="22"/>
                <w:lang w:val="en-US" w:eastAsia="zh-CN"/>
              </w:rPr>
              <w:t>了解学前教育权利保障的途径。</w:t>
            </w:r>
          </w:p>
          <w:p w14:paraId="584F72A3">
            <w:pPr>
              <w:widowControl w:val="0"/>
              <w:adjustRightInd w:val="0"/>
              <w:snapToGrid w:val="0"/>
              <w:ind w:left="-50" w:right="-50"/>
              <w:jc w:val="both"/>
              <w:rPr>
                <w:rFonts w:hint="eastAsia" w:ascii="方正仿宋_GB2312" w:hAnsi="方正仿宋_GB2312" w:eastAsia="方正仿宋_GB2312" w:cs="方正仿宋_GB2312"/>
                <w:bCs/>
                <w:sz w:val="22"/>
                <w:szCs w:val="22"/>
                <w:lang w:val="en-US" w:eastAsia="zh-CN"/>
              </w:rPr>
            </w:pPr>
            <w:r>
              <w:rPr>
                <w:rFonts w:hint="eastAsia" w:ascii="方正仿宋_GB2312" w:hAnsi="方正仿宋_GB2312" w:eastAsia="方正仿宋_GB2312" w:cs="方正仿宋_GB2312"/>
                <w:bCs/>
                <w:sz w:val="22"/>
                <w:szCs w:val="22"/>
              </w:rPr>
              <w:t>能力目标：1.</w:t>
            </w:r>
            <w:r>
              <w:rPr>
                <w:rFonts w:hint="eastAsia" w:ascii="方正仿宋_GB2312" w:hAnsi="方正仿宋_GB2312" w:eastAsia="方正仿宋_GB2312" w:cs="方正仿宋_GB2312"/>
                <w:bCs/>
                <w:sz w:val="22"/>
                <w:szCs w:val="22"/>
                <w:lang w:val="en-US" w:eastAsia="zh-CN"/>
              </w:rPr>
              <w:t>学会处理与幼儿有关的法律问题；</w:t>
            </w:r>
          </w:p>
          <w:p w14:paraId="22F0A06B">
            <w:pPr>
              <w:widowControl w:val="0"/>
              <w:adjustRightInd w:val="0"/>
              <w:snapToGrid w:val="0"/>
              <w:ind w:left="-50" w:right="-50" w:firstLine="1100" w:firstLineChars="500"/>
              <w:jc w:val="both"/>
              <w:rPr>
                <w:rFonts w:hint="eastAsia" w:ascii="方正仿宋_GB2312" w:hAnsi="方正仿宋_GB2312" w:eastAsia="方正仿宋_GB2312" w:cs="方正仿宋_GB2312"/>
                <w:bCs/>
                <w:sz w:val="22"/>
                <w:szCs w:val="22"/>
                <w:lang w:val="en-US" w:eastAsia="zh-CN"/>
              </w:rPr>
            </w:pPr>
            <w:r>
              <w:rPr>
                <w:rFonts w:hint="eastAsia" w:ascii="方正仿宋_GB2312" w:hAnsi="方正仿宋_GB2312" w:eastAsia="方正仿宋_GB2312" w:cs="方正仿宋_GB2312"/>
                <w:bCs/>
                <w:sz w:val="22"/>
                <w:szCs w:val="22"/>
              </w:rPr>
              <w:t>2.</w:t>
            </w:r>
            <w:r>
              <w:rPr>
                <w:rFonts w:hint="eastAsia" w:ascii="方正仿宋_GB2312" w:hAnsi="方正仿宋_GB2312" w:eastAsia="方正仿宋_GB2312" w:cs="方正仿宋_GB2312"/>
                <w:bCs/>
                <w:sz w:val="22"/>
                <w:szCs w:val="22"/>
                <w:lang w:val="en-US" w:eastAsia="zh-CN"/>
              </w:rPr>
              <w:t>学会分析幼儿伤害事故，依法执教。</w:t>
            </w:r>
          </w:p>
          <w:p w14:paraId="23DC8CC4">
            <w:pPr>
              <w:widowControl w:val="0"/>
              <w:adjustRightInd w:val="0"/>
              <w:snapToGrid w:val="0"/>
              <w:ind w:left="-50" w:right="-50"/>
              <w:jc w:val="both"/>
              <w:rPr>
                <w:rFonts w:hint="eastAsia" w:ascii="方正仿宋_GB2312" w:hAnsi="方正仿宋_GB2312" w:eastAsia="方正仿宋_GB2312" w:cs="方正仿宋_GB2312"/>
                <w:b w:val="0"/>
                <w:bCs/>
                <w:color w:val="auto"/>
                <w:sz w:val="22"/>
                <w:szCs w:val="22"/>
              </w:rPr>
            </w:pPr>
            <w:r>
              <w:rPr>
                <w:rFonts w:hint="eastAsia" w:ascii="方正仿宋_GB2312" w:hAnsi="方正仿宋_GB2312" w:eastAsia="方正仿宋_GB2312" w:cs="方正仿宋_GB2312"/>
                <w:bCs/>
                <w:sz w:val="22"/>
                <w:szCs w:val="22"/>
              </w:rPr>
              <w:t>思政目标：1.</w:t>
            </w:r>
            <w:r>
              <w:rPr>
                <w:rFonts w:hint="eastAsia" w:ascii="方正仿宋_GB2312" w:hAnsi="方正仿宋_GB2312" w:eastAsia="方正仿宋_GB2312" w:cs="方正仿宋_GB2312"/>
                <w:b w:val="0"/>
                <w:bCs/>
                <w:color w:val="auto"/>
                <w:sz w:val="22"/>
                <w:szCs w:val="22"/>
                <w:lang w:val="en-US" w:eastAsia="zh-CN"/>
              </w:rPr>
              <w:t>树立重视幼儿的身心健康，开展健康安全教育，将保护幼儿生命安全放在首位的意识；</w:t>
            </w:r>
          </w:p>
          <w:p w14:paraId="6F023FC3">
            <w:pPr>
              <w:pStyle w:val="14"/>
              <w:widowControl w:val="0"/>
              <w:numPr>
                <w:ilvl w:val="0"/>
                <w:numId w:val="0"/>
              </w:numPr>
              <w:ind w:firstLine="1100" w:firstLineChars="500"/>
              <w:jc w:val="left"/>
              <w:rPr>
                <w:rFonts w:hint="eastAsia" w:ascii="方正仿宋_GB2312" w:hAnsi="方正仿宋_GB2312" w:eastAsia="方正仿宋_GB2312" w:cs="方正仿宋_GB2312"/>
                <w:b w:val="0"/>
                <w:bCs/>
                <w:color w:val="auto"/>
                <w:sz w:val="22"/>
                <w:szCs w:val="22"/>
              </w:rPr>
            </w:pPr>
            <w:r>
              <w:rPr>
                <w:rFonts w:hint="eastAsia" w:ascii="方正仿宋_GB2312" w:hAnsi="方正仿宋_GB2312" w:eastAsia="方正仿宋_GB2312" w:cs="方正仿宋_GB2312"/>
                <w:b w:val="0"/>
                <w:bCs/>
                <w:color w:val="auto"/>
                <w:sz w:val="22"/>
                <w:szCs w:val="22"/>
                <w:lang w:val="en-US" w:eastAsia="zh-CN" w:bidi="ar-SA"/>
              </w:rPr>
              <w:t>2.</w:t>
            </w:r>
            <w:r>
              <w:rPr>
                <w:rFonts w:hint="eastAsia" w:ascii="方正仿宋_GB2312" w:hAnsi="方正仿宋_GB2312" w:eastAsia="方正仿宋_GB2312" w:cs="方正仿宋_GB2312"/>
                <w:b w:val="0"/>
                <w:bCs/>
                <w:color w:val="auto"/>
                <w:sz w:val="22"/>
                <w:szCs w:val="22"/>
                <w:lang w:val="en-US" w:eastAsia="zh-CN"/>
              </w:rPr>
              <w:t>践行以幼儿为本的理念，保护幼儿不受伤害</w:t>
            </w:r>
            <w:r>
              <w:rPr>
                <w:rFonts w:hint="eastAsia" w:ascii="方正仿宋_GB2312" w:hAnsi="方正仿宋_GB2312" w:eastAsia="方正仿宋_GB2312" w:cs="方正仿宋_GB2312"/>
                <w:b w:val="0"/>
                <w:bCs/>
                <w:color w:val="auto"/>
                <w:sz w:val="22"/>
                <w:szCs w:val="22"/>
              </w:rPr>
              <w:t>。</w:t>
            </w:r>
          </w:p>
          <w:p w14:paraId="11966723">
            <w:pPr>
              <w:widowControl w:val="0"/>
              <w:snapToGrid w:val="0"/>
              <w:spacing w:line="288" w:lineRule="auto"/>
              <w:ind w:right="26"/>
              <w:jc w:val="both"/>
              <w:rPr>
                <w:rFonts w:ascii="仿宋_GB2312" w:eastAsia="仿宋_GB2312"/>
                <w:bCs/>
                <w:sz w:val="22"/>
              </w:rPr>
            </w:pPr>
            <w:r>
              <w:rPr>
                <w:rFonts w:hint="eastAsia" w:ascii="仿宋_GB2312" w:eastAsia="仿宋_GB2312"/>
                <w:bCs/>
                <w:sz w:val="22"/>
              </w:rPr>
              <w:t>重点：</w:t>
            </w:r>
            <w:r>
              <w:rPr>
                <w:rFonts w:hint="eastAsia" w:ascii="仿宋_GB2312" w:hAnsi="宋体" w:eastAsia="仿宋_GB2312"/>
                <w:bCs/>
                <w:sz w:val="22"/>
                <w:lang w:val="en-US" w:eastAsia="zh-CN"/>
              </w:rPr>
              <w:t>学会处理与幼儿有关的法律问题。</w:t>
            </w:r>
          </w:p>
          <w:p w14:paraId="6392794D">
            <w:pPr>
              <w:pStyle w:val="14"/>
              <w:widowControl w:val="0"/>
              <w:numPr>
                <w:ilvl w:val="0"/>
                <w:numId w:val="0"/>
              </w:numPr>
              <w:jc w:val="left"/>
              <w:rPr>
                <w:rFonts w:hint="eastAsia" w:ascii="方正仿宋_GB2312" w:hAnsi="方正仿宋_GB2312" w:eastAsia="方正仿宋_GB2312" w:cs="方正仿宋_GB2312"/>
                <w:b w:val="0"/>
                <w:bCs/>
                <w:color w:val="auto"/>
                <w:sz w:val="22"/>
                <w:szCs w:val="22"/>
              </w:rPr>
            </w:pPr>
            <w:r>
              <w:rPr>
                <w:rFonts w:hint="eastAsia" w:ascii="仿宋_GB2312" w:eastAsia="仿宋_GB2312"/>
                <w:bCs/>
                <w:sz w:val="22"/>
              </w:rPr>
              <w:t>难点：</w:t>
            </w:r>
            <w:r>
              <w:rPr>
                <w:rFonts w:hint="eastAsia" w:ascii="仿宋_GB2312" w:eastAsia="仿宋_GB2312"/>
                <w:bCs/>
                <w:sz w:val="22"/>
                <w:lang w:val="en-US" w:eastAsia="zh-CN"/>
              </w:rPr>
              <w:t>根据幼儿相关法律，</w:t>
            </w:r>
            <w:r>
              <w:rPr>
                <w:rFonts w:hint="eastAsia" w:ascii="仿宋_GB2312" w:hAnsi="宋体" w:eastAsia="仿宋_GB2312"/>
                <w:bCs/>
                <w:sz w:val="22"/>
                <w:lang w:val="en-US" w:eastAsia="zh-CN"/>
              </w:rPr>
              <w:t>分析幼儿伤害事故。</w:t>
            </w:r>
          </w:p>
        </w:tc>
      </w:tr>
      <w:tr w14:paraId="154C490F">
        <w:tc>
          <w:tcPr>
            <w:tcW w:w="8296" w:type="dxa"/>
          </w:tcPr>
          <w:p w14:paraId="1CFB079C">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第二单元   幼儿和学前教育政策法规（二）</w:t>
            </w:r>
          </w:p>
          <w:p w14:paraId="659742FD">
            <w:pPr>
              <w:widowControl w:val="0"/>
              <w:adjustRightInd w:val="0"/>
              <w:snapToGrid w:val="0"/>
              <w:ind w:left="-50" w:right="-50"/>
              <w:jc w:val="left"/>
              <w:rPr>
                <w:rFonts w:hint="default" w:ascii="仿宋_GB2312" w:hAnsi="宋体" w:eastAsia="仿宋_GB2312"/>
                <w:bCs/>
                <w:sz w:val="22"/>
                <w:lang w:val="en-US" w:eastAsia="zh-CN"/>
              </w:rPr>
            </w:pPr>
            <w:r>
              <w:rPr>
                <w:rFonts w:hint="eastAsia" w:ascii="仿宋_GB2312" w:hAnsi="宋体" w:eastAsia="仿宋_GB2312"/>
                <w:bCs/>
                <w:sz w:val="22"/>
              </w:rPr>
              <w:t>知识目标：1.</w:t>
            </w:r>
            <w:r>
              <w:rPr>
                <w:rFonts w:hint="eastAsia" w:ascii="仿宋_GB2312" w:hAnsi="宋体" w:eastAsia="仿宋_GB2312"/>
                <w:bCs/>
                <w:sz w:val="22"/>
                <w:lang w:val="en-US" w:eastAsia="zh-CN"/>
              </w:rPr>
              <w:t>学习并基本了解与幼儿有关的常见法律问题；</w:t>
            </w:r>
          </w:p>
          <w:p w14:paraId="10191354">
            <w:pPr>
              <w:widowControl w:val="0"/>
              <w:adjustRightInd w:val="0"/>
              <w:snapToGrid w:val="0"/>
              <w:ind w:left="-50" w:right="-50" w:firstLine="1100" w:firstLineChars="500"/>
              <w:jc w:val="left"/>
              <w:rPr>
                <w:rFonts w:hint="default" w:ascii="仿宋_GB2312" w:hAnsi="宋体" w:eastAsia="仿宋_GB2312"/>
                <w:bCs/>
                <w:sz w:val="22"/>
                <w:lang w:val="en-US" w:eastAsia="zh-CN"/>
              </w:rPr>
            </w:pPr>
            <w:r>
              <w:rPr>
                <w:rFonts w:hint="eastAsia" w:ascii="仿宋_GB2312" w:hAnsi="宋体" w:eastAsia="仿宋_GB2312"/>
                <w:bCs/>
                <w:sz w:val="22"/>
                <w:lang w:val="en-US" w:eastAsia="zh-CN"/>
              </w:rPr>
              <w:t>2.了解幼儿伤害事故发生的原因及预防；</w:t>
            </w:r>
          </w:p>
          <w:p w14:paraId="280D96D3">
            <w:pPr>
              <w:widowControl w:val="0"/>
              <w:adjustRightInd w:val="0"/>
              <w:snapToGrid w:val="0"/>
              <w:ind w:left="-50" w:right="-50" w:firstLine="1100" w:firstLineChars="500"/>
              <w:jc w:val="left"/>
              <w:rPr>
                <w:rFonts w:hint="default" w:ascii="仿宋_GB2312" w:hAnsi="宋体" w:eastAsia="仿宋_GB2312"/>
                <w:bCs/>
                <w:sz w:val="22"/>
                <w:lang w:val="en-US" w:eastAsia="zh-CN"/>
              </w:rPr>
            </w:pPr>
            <w:r>
              <w:rPr>
                <w:rFonts w:hint="eastAsia" w:ascii="仿宋_GB2312" w:hAnsi="宋体" w:eastAsia="仿宋_GB2312"/>
                <w:bCs/>
                <w:sz w:val="22"/>
                <w:lang w:val="en-US" w:eastAsia="zh-CN"/>
              </w:rPr>
              <w:t>3.掌握预防幼儿身心健康受到损害的措施。</w:t>
            </w:r>
          </w:p>
          <w:p w14:paraId="1E9AF856">
            <w:pPr>
              <w:widowControl w:val="0"/>
              <w:adjustRightInd w:val="0"/>
              <w:snapToGrid w:val="0"/>
              <w:ind w:left="-50" w:right="-50"/>
              <w:jc w:val="left"/>
              <w:rPr>
                <w:rFonts w:hint="eastAsia" w:ascii="仿宋_GB2312" w:hAnsi="宋体" w:eastAsia="仿宋_GB2312"/>
                <w:bCs/>
                <w:sz w:val="22"/>
                <w:lang w:val="en-US" w:eastAsia="zh-CN"/>
              </w:rPr>
            </w:pPr>
            <w:r>
              <w:rPr>
                <w:rFonts w:hint="eastAsia" w:ascii="仿宋_GB2312" w:hAnsi="宋体" w:eastAsia="仿宋_GB2312"/>
                <w:bCs/>
                <w:sz w:val="22"/>
              </w:rPr>
              <w:t>能力目标：1.</w:t>
            </w:r>
            <w:r>
              <w:rPr>
                <w:rFonts w:hint="eastAsia" w:ascii="仿宋_GB2312" w:hAnsi="宋体" w:eastAsia="仿宋_GB2312"/>
                <w:bCs/>
                <w:sz w:val="22"/>
                <w:lang w:val="en-US" w:eastAsia="zh-CN"/>
              </w:rPr>
              <w:t>学会处理与幼儿有关的法律问题；</w:t>
            </w:r>
          </w:p>
          <w:p w14:paraId="10E83481">
            <w:pPr>
              <w:widowControl w:val="0"/>
              <w:adjustRightInd w:val="0"/>
              <w:snapToGrid w:val="0"/>
              <w:ind w:left="-50" w:right="-50" w:firstLine="1100" w:firstLineChars="500"/>
              <w:jc w:val="left"/>
              <w:rPr>
                <w:rFonts w:hint="eastAsia" w:ascii="仿宋_GB2312" w:hAnsi="宋体" w:eastAsia="仿宋_GB2312"/>
                <w:bCs/>
                <w:sz w:val="22"/>
              </w:rPr>
            </w:pPr>
            <w:r>
              <w:rPr>
                <w:rFonts w:hint="eastAsia" w:ascii="仿宋_GB2312" w:hAnsi="宋体" w:eastAsia="仿宋_GB2312"/>
                <w:bCs/>
                <w:sz w:val="22"/>
              </w:rPr>
              <w:t>2.</w:t>
            </w:r>
            <w:r>
              <w:rPr>
                <w:rFonts w:hint="eastAsia" w:ascii="仿宋_GB2312" w:hAnsi="宋体" w:eastAsia="仿宋_GB2312"/>
                <w:bCs/>
                <w:sz w:val="22"/>
                <w:lang w:val="en-US" w:eastAsia="zh-CN"/>
              </w:rPr>
              <w:t>学会分析幼儿伤害事故，依法执教。</w:t>
            </w:r>
          </w:p>
          <w:p w14:paraId="6811BF08">
            <w:pPr>
              <w:widowControl w:val="0"/>
              <w:adjustRightInd w:val="0"/>
              <w:snapToGrid w:val="0"/>
              <w:ind w:left="-50" w:right="-50"/>
              <w:jc w:val="left"/>
              <w:rPr>
                <w:rFonts w:hint="eastAsia" w:ascii="仿宋_GB2312" w:hAnsi="宋体" w:eastAsia="仿宋_GB2312"/>
                <w:bCs/>
                <w:sz w:val="22"/>
                <w:lang w:eastAsia="zh-CN"/>
              </w:rPr>
            </w:pPr>
            <w:r>
              <w:rPr>
                <w:rFonts w:hint="eastAsia" w:ascii="仿宋_GB2312" w:hAnsi="宋体" w:eastAsia="仿宋_GB2312"/>
                <w:bCs/>
                <w:sz w:val="22"/>
              </w:rPr>
              <w:t>思政目标：1.掌握学前教育相关政策法规，自觉树立立德树人，依法执教的意识</w:t>
            </w:r>
            <w:r>
              <w:rPr>
                <w:rFonts w:hint="eastAsia" w:ascii="仿宋_GB2312" w:hAnsi="宋体" w:eastAsia="仿宋_GB2312"/>
                <w:bCs/>
                <w:sz w:val="22"/>
                <w:lang w:eastAsia="zh-CN"/>
              </w:rPr>
              <w:t>；</w:t>
            </w:r>
          </w:p>
          <w:p w14:paraId="2261D534">
            <w:pPr>
              <w:pStyle w:val="14"/>
              <w:widowControl w:val="0"/>
              <w:numPr>
                <w:ilvl w:val="0"/>
                <w:numId w:val="0"/>
              </w:numPr>
              <w:ind w:firstLine="1100" w:firstLineChars="500"/>
              <w:jc w:val="left"/>
              <w:rPr>
                <w:rFonts w:hint="eastAsia" w:ascii="仿宋_GB2312" w:hAnsi="宋体" w:eastAsia="仿宋_GB2312"/>
                <w:bCs/>
                <w:sz w:val="22"/>
                <w:lang w:eastAsia="zh-CN"/>
              </w:rPr>
            </w:pPr>
            <w:r>
              <w:rPr>
                <w:rFonts w:hint="eastAsia" w:ascii="仿宋_GB2312" w:hAnsi="宋体" w:eastAsia="仿宋_GB2312" w:cs="宋体"/>
                <w:bCs/>
                <w:color w:val="000000"/>
                <w:sz w:val="22"/>
                <w:szCs w:val="21"/>
                <w:lang w:val="en-US" w:eastAsia="zh-CN" w:bidi="ar-SA"/>
              </w:rPr>
              <w:t>2.</w:t>
            </w:r>
            <w:r>
              <w:rPr>
                <w:rFonts w:hint="eastAsia" w:ascii="仿宋_GB2312" w:hAnsi="宋体" w:eastAsia="仿宋_GB2312"/>
                <w:bCs/>
                <w:sz w:val="22"/>
              </w:rPr>
              <w:t>认识到学前教育法规政策在科学实施保育教育、引导幼儿身心健康发展中的重要作用</w:t>
            </w:r>
            <w:r>
              <w:rPr>
                <w:rFonts w:hint="eastAsia" w:ascii="仿宋_GB2312" w:hAnsi="宋体" w:eastAsia="仿宋_GB2312"/>
                <w:bCs/>
                <w:sz w:val="22"/>
                <w:lang w:eastAsia="zh-CN"/>
              </w:rPr>
              <w:t>。</w:t>
            </w:r>
          </w:p>
          <w:p w14:paraId="6F515109">
            <w:pPr>
              <w:widowControl w:val="0"/>
              <w:snapToGrid w:val="0"/>
              <w:spacing w:line="288" w:lineRule="auto"/>
              <w:ind w:right="26"/>
              <w:jc w:val="left"/>
              <w:rPr>
                <w:rFonts w:hint="eastAsia" w:ascii="仿宋_GB2312" w:eastAsia="仿宋_GB2312"/>
                <w:bCs/>
                <w:sz w:val="22"/>
              </w:rPr>
            </w:pPr>
            <w:r>
              <w:rPr>
                <w:rFonts w:hint="eastAsia" w:ascii="仿宋_GB2312" w:eastAsia="仿宋_GB2312"/>
                <w:bCs/>
                <w:sz w:val="22"/>
              </w:rPr>
              <w:t>重点：</w:t>
            </w:r>
            <w:r>
              <w:rPr>
                <w:rFonts w:hint="eastAsia" w:ascii="仿宋_GB2312" w:hAnsi="宋体" w:eastAsia="仿宋_GB2312"/>
                <w:bCs/>
                <w:sz w:val="22"/>
                <w:lang w:val="en-US" w:eastAsia="zh-CN"/>
              </w:rPr>
              <w:t>学习并基本了解与幼儿有关的常见法律问题。</w:t>
            </w:r>
          </w:p>
          <w:p w14:paraId="5A16AC34">
            <w:pPr>
              <w:pStyle w:val="14"/>
              <w:widowControl w:val="0"/>
              <w:numPr>
                <w:ilvl w:val="0"/>
                <w:numId w:val="0"/>
              </w:numPr>
              <w:jc w:val="left"/>
              <w:rPr>
                <w:rFonts w:hint="eastAsia" w:ascii="仿宋_GB2312" w:hAnsi="宋体" w:eastAsia="仿宋_GB2312"/>
                <w:bCs/>
                <w:sz w:val="22"/>
                <w:lang w:eastAsia="zh-CN"/>
              </w:rPr>
            </w:pPr>
            <w:r>
              <w:rPr>
                <w:rFonts w:hint="eastAsia" w:ascii="仿宋_GB2312" w:eastAsia="仿宋_GB2312"/>
                <w:bCs/>
                <w:sz w:val="22"/>
              </w:rPr>
              <w:t>难点：</w:t>
            </w:r>
            <w:r>
              <w:rPr>
                <w:rFonts w:hint="eastAsia" w:ascii="仿宋_GB2312" w:hAnsi="宋体" w:eastAsia="仿宋_GB2312"/>
                <w:bCs/>
                <w:sz w:val="22"/>
                <w:lang w:val="en-US" w:eastAsia="zh-CN"/>
              </w:rPr>
              <w:t>学会处理与幼儿有关的法律问题。</w:t>
            </w:r>
          </w:p>
        </w:tc>
      </w:tr>
      <w:tr w14:paraId="7E9BF7EE">
        <w:tc>
          <w:tcPr>
            <w:tcW w:w="8296" w:type="dxa"/>
          </w:tcPr>
          <w:p w14:paraId="3C3D9FEC">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第三单元：儿童的权利与保护（一）</w:t>
            </w:r>
          </w:p>
          <w:p w14:paraId="065F68EF">
            <w:pPr>
              <w:widowControl w:val="0"/>
              <w:adjustRightInd w:val="0"/>
              <w:snapToGrid w:val="0"/>
              <w:ind w:left="-50" w:right="-50"/>
              <w:jc w:val="both"/>
              <w:rPr>
                <w:rFonts w:hint="eastAsia" w:ascii="方正仿宋_GB2312" w:hAnsi="方正仿宋_GB2312" w:eastAsia="方正仿宋_GB2312" w:cs="方正仿宋_GB2312"/>
                <w:bCs/>
                <w:sz w:val="22"/>
                <w:szCs w:val="22"/>
              </w:rPr>
            </w:pPr>
            <w:r>
              <w:rPr>
                <w:rFonts w:hint="eastAsia" w:ascii="方正仿宋_GB2312" w:hAnsi="方正仿宋_GB2312" w:eastAsia="方正仿宋_GB2312" w:cs="方正仿宋_GB2312"/>
                <w:bCs/>
                <w:sz w:val="22"/>
                <w:szCs w:val="22"/>
              </w:rPr>
              <w:t>知识目标：1.</w:t>
            </w:r>
            <w:r>
              <w:rPr>
                <w:rFonts w:hint="eastAsia" w:ascii="方正仿宋_GB2312" w:hAnsi="方正仿宋_GB2312" w:eastAsia="方正仿宋_GB2312" w:cs="方正仿宋_GB2312"/>
                <w:sz w:val="22"/>
                <w:szCs w:val="22"/>
                <w:lang w:val="en-US" w:eastAsia="zh-CN"/>
              </w:rPr>
              <w:t>初步了解与幼儿权利有关的国内外政策文件的基本内容；</w:t>
            </w:r>
          </w:p>
          <w:p w14:paraId="385E3CC0">
            <w:pPr>
              <w:widowControl w:val="0"/>
              <w:adjustRightInd w:val="0"/>
              <w:snapToGrid w:val="0"/>
              <w:ind w:left="-50" w:right="-50" w:firstLine="1100" w:firstLineChars="500"/>
              <w:jc w:val="both"/>
              <w:rPr>
                <w:rFonts w:hint="eastAsia" w:ascii="方正仿宋_GB2312" w:hAnsi="方正仿宋_GB2312" w:eastAsia="方正仿宋_GB2312" w:cs="方正仿宋_GB2312"/>
                <w:bCs/>
                <w:sz w:val="22"/>
                <w:szCs w:val="22"/>
              </w:rPr>
            </w:pPr>
            <w:r>
              <w:rPr>
                <w:rFonts w:hint="eastAsia" w:ascii="方正仿宋_GB2312" w:hAnsi="方正仿宋_GB2312" w:eastAsia="方正仿宋_GB2312" w:cs="方正仿宋_GB2312"/>
                <w:bCs/>
                <w:sz w:val="22"/>
                <w:szCs w:val="22"/>
              </w:rPr>
              <w:t>2.</w:t>
            </w:r>
            <w:r>
              <w:rPr>
                <w:rFonts w:hint="eastAsia" w:ascii="方正仿宋_GB2312" w:hAnsi="方正仿宋_GB2312" w:eastAsia="方正仿宋_GB2312" w:cs="方正仿宋_GB2312"/>
                <w:sz w:val="22"/>
                <w:szCs w:val="22"/>
                <w:lang w:val="en-US" w:eastAsia="zh-CN"/>
              </w:rPr>
              <w:t>掌握《儿童权利公约》中儿童保护的四项基本原则；</w:t>
            </w:r>
          </w:p>
          <w:p w14:paraId="29E1055A">
            <w:pPr>
              <w:widowControl w:val="0"/>
              <w:adjustRightInd w:val="0"/>
              <w:snapToGrid w:val="0"/>
              <w:ind w:left="-50" w:right="-50" w:firstLine="1100" w:firstLineChars="500"/>
              <w:jc w:val="both"/>
              <w:rPr>
                <w:rFonts w:hint="eastAsia" w:ascii="方正仿宋_GB2312" w:hAnsi="方正仿宋_GB2312" w:eastAsia="方正仿宋_GB2312" w:cs="方正仿宋_GB2312"/>
                <w:bCs/>
                <w:sz w:val="22"/>
                <w:szCs w:val="22"/>
              </w:rPr>
            </w:pPr>
            <w:r>
              <w:rPr>
                <w:rFonts w:hint="eastAsia" w:ascii="方正仿宋_GB2312" w:hAnsi="方正仿宋_GB2312" w:eastAsia="方正仿宋_GB2312" w:cs="方正仿宋_GB2312"/>
                <w:bCs/>
                <w:sz w:val="22"/>
                <w:szCs w:val="22"/>
              </w:rPr>
              <w:t>3.</w:t>
            </w:r>
            <w:r>
              <w:rPr>
                <w:rFonts w:hint="eastAsia" w:ascii="方正仿宋_GB2312" w:hAnsi="方正仿宋_GB2312" w:eastAsia="方正仿宋_GB2312" w:cs="方正仿宋_GB2312"/>
                <w:sz w:val="22"/>
                <w:szCs w:val="22"/>
                <w:lang w:val="en-US" w:eastAsia="zh-CN"/>
              </w:rPr>
              <w:t>掌握《中华人民共和国未成年人保护法》的结构与内容。</w:t>
            </w:r>
          </w:p>
          <w:p w14:paraId="0A2812A1">
            <w:pPr>
              <w:widowControl w:val="0"/>
              <w:adjustRightInd w:val="0"/>
              <w:snapToGrid w:val="0"/>
              <w:ind w:left="-50" w:right="-50"/>
              <w:jc w:val="both"/>
              <w:rPr>
                <w:rFonts w:hint="eastAsia" w:ascii="方正仿宋_GB2312" w:hAnsi="方正仿宋_GB2312" w:eastAsia="方正仿宋_GB2312" w:cs="方正仿宋_GB2312"/>
                <w:bCs/>
                <w:sz w:val="22"/>
                <w:szCs w:val="22"/>
              </w:rPr>
            </w:pPr>
            <w:r>
              <w:rPr>
                <w:rFonts w:hint="eastAsia" w:ascii="方正仿宋_GB2312" w:hAnsi="方正仿宋_GB2312" w:eastAsia="方正仿宋_GB2312" w:cs="方正仿宋_GB2312"/>
                <w:bCs/>
                <w:sz w:val="22"/>
                <w:szCs w:val="22"/>
              </w:rPr>
              <w:t>能力目标：1.</w:t>
            </w:r>
            <w:r>
              <w:rPr>
                <w:rFonts w:hint="eastAsia" w:ascii="方正仿宋_GB2312" w:hAnsi="方正仿宋_GB2312" w:eastAsia="方正仿宋_GB2312" w:cs="方正仿宋_GB2312"/>
                <w:sz w:val="22"/>
                <w:szCs w:val="22"/>
                <w:lang w:val="en-US" w:eastAsia="zh-CN"/>
              </w:rPr>
              <w:t>能运用《中华人民共和国未成年人保护法》，分析与评价幼儿教育工作中幼儿权利保护的实际问题；</w:t>
            </w:r>
          </w:p>
          <w:p w14:paraId="590143C6">
            <w:pPr>
              <w:widowControl w:val="0"/>
              <w:adjustRightInd w:val="0"/>
              <w:snapToGrid w:val="0"/>
              <w:ind w:left="-50" w:right="-50" w:firstLine="1100" w:firstLineChars="500"/>
              <w:jc w:val="both"/>
              <w:rPr>
                <w:rFonts w:hint="eastAsia" w:ascii="方正仿宋_GB2312" w:hAnsi="方正仿宋_GB2312" w:eastAsia="方正仿宋_GB2312" w:cs="方正仿宋_GB2312"/>
                <w:bCs/>
                <w:sz w:val="22"/>
                <w:szCs w:val="22"/>
                <w:lang w:val="en-US" w:eastAsia="zh-CN"/>
              </w:rPr>
            </w:pPr>
            <w:r>
              <w:rPr>
                <w:rFonts w:hint="eastAsia" w:ascii="方正仿宋_GB2312" w:hAnsi="方正仿宋_GB2312" w:eastAsia="方正仿宋_GB2312" w:cs="方正仿宋_GB2312"/>
                <w:bCs/>
                <w:sz w:val="22"/>
                <w:szCs w:val="22"/>
              </w:rPr>
              <w:t>2.</w:t>
            </w:r>
            <w:r>
              <w:rPr>
                <w:rFonts w:hint="eastAsia" w:ascii="方正仿宋_GB2312" w:hAnsi="方正仿宋_GB2312" w:eastAsia="方正仿宋_GB2312" w:cs="方正仿宋_GB2312"/>
                <w:bCs/>
                <w:sz w:val="22"/>
                <w:szCs w:val="22"/>
                <w:lang w:val="en-US" w:eastAsia="zh-CN"/>
              </w:rPr>
              <w:t>能运用</w:t>
            </w:r>
            <w:r>
              <w:rPr>
                <w:rFonts w:hint="eastAsia" w:ascii="方正仿宋_GB2312" w:hAnsi="方正仿宋_GB2312" w:eastAsia="方正仿宋_GB2312" w:cs="方正仿宋_GB2312"/>
                <w:sz w:val="22"/>
                <w:szCs w:val="22"/>
                <w:lang w:val="en-US" w:eastAsia="zh-CN"/>
              </w:rPr>
              <w:t>《儿童权利公约》分析幼儿园中的实际问题。</w:t>
            </w:r>
          </w:p>
          <w:p w14:paraId="7162014B">
            <w:pPr>
              <w:widowControl w:val="0"/>
              <w:adjustRightInd w:val="0"/>
              <w:snapToGrid w:val="0"/>
              <w:ind w:left="-50" w:right="-50"/>
              <w:jc w:val="both"/>
              <w:rPr>
                <w:rFonts w:hint="eastAsia" w:ascii="方正仿宋_GB2312" w:hAnsi="方正仿宋_GB2312" w:eastAsia="方正仿宋_GB2312" w:cs="方正仿宋_GB2312"/>
                <w:b w:val="0"/>
                <w:bCs/>
                <w:color w:val="auto"/>
                <w:sz w:val="22"/>
                <w:szCs w:val="22"/>
              </w:rPr>
            </w:pPr>
            <w:r>
              <w:rPr>
                <w:rFonts w:hint="eastAsia" w:ascii="方正仿宋_GB2312" w:hAnsi="方正仿宋_GB2312" w:eastAsia="方正仿宋_GB2312" w:cs="方正仿宋_GB2312"/>
                <w:bCs/>
                <w:sz w:val="22"/>
                <w:szCs w:val="22"/>
              </w:rPr>
              <w:t>思政目标：</w:t>
            </w:r>
            <w:r>
              <w:rPr>
                <w:rFonts w:hint="eastAsia" w:ascii="方正仿宋_GB2312" w:hAnsi="方正仿宋_GB2312" w:eastAsia="方正仿宋_GB2312" w:cs="方正仿宋_GB2312"/>
                <w:b w:val="0"/>
                <w:bCs/>
                <w:color w:val="auto"/>
                <w:sz w:val="22"/>
                <w:szCs w:val="22"/>
              </w:rPr>
              <w:t>1.</w:t>
            </w:r>
            <w:r>
              <w:rPr>
                <w:rFonts w:hint="eastAsia" w:ascii="方正仿宋_GB2312" w:hAnsi="方正仿宋_GB2312" w:eastAsia="方正仿宋_GB2312" w:cs="方正仿宋_GB2312"/>
                <w:b w:val="0"/>
                <w:bCs/>
                <w:color w:val="auto"/>
                <w:sz w:val="22"/>
                <w:szCs w:val="22"/>
                <w:lang w:eastAsia="zh-CN"/>
              </w:rPr>
              <w:t>尊重儿童的权利，做幸福童年的守护者；</w:t>
            </w:r>
          </w:p>
          <w:p w14:paraId="27EF3A70">
            <w:pPr>
              <w:widowControl w:val="0"/>
              <w:adjustRightInd w:val="0"/>
              <w:snapToGrid w:val="0"/>
              <w:ind w:left="-50" w:right="-50" w:firstLine="1100" w:firstLineChars="500"/>
              <w:jc w:val="both"/>
              <w:rPr>
                <w:rFonts w:hint="eastAsia" w:ascii="方正仿宋_GB2312" w:hAnsi="方正仿宋_GB2312" w:eastAsia="方正仿宋_GB2312" w:cs="方正仿宋_GB2312"/>
                <w:b w:val="0"/>
                <w:bCs/>
                <w:color w:val="auto"/>
                <w:sz w:val="22"/>
                <w:szCs w:val="22"/>
              </w:rPr>
            </w:pPr>
            <w:r>
              <w:rPr>
                <w:rFonts w:hint="eastAsia" w:ascii="方正仿宋_GB2312" w:hAnsi="方正仿宋_GB2312" w:eastAsia="方正仿宋_GB2312" w:cs="方正仿宋_GB2312"/>
                <w:b w:val="0"/>
                <w:bCs/>
                <w:color w:val="auto"/>
                <w:sz w:val="22"/>
                <w:szCs w:val="22"/>
              </w:rPr>
              <w:t>2.</w:t>
            </w:r>
            <w:r>
              <w:rPr>
                <w:rFonts w:hint="eastAsia" w:ascii="方正仿宋_GB2312" w:hAnsi="方正仿宋_GB2312" w:eastAsia="方正仿宋_GB2312" w:cs="方正仿宋_GB2312"/>
                <w:b w:val="0"/>
                <w:bCs/>
                <w:color w:val="auto"/>
                <w:sz w:val="22"/>
                <w:szCs w:val="22"/>
                <w:lang w:val="en-US" w:eastAsia="zh-CN"/>
              </w:rPr>
              <w:t>关注儿童的权利，给予更多的倾听和尊重，</w:t>
            </w:r>
            <w:r>
              <w:rPr>
                <w:rFonts w:hint="eastAsia" w:ascii="方正仿宋_GB2312" w:hAnsi="方正仿宋_GB2312" w:eastAsia="方正仿宋_GB2312" w:cs="方正仿宋_GB2312"/>
                <w:b w:val="0"/>
                <w:bCs/>
                <w:color w:val="auto"/>
                <w:sz w:val="22"/>
                <w:szCs w:val="22"/>
                <w:lang w:eastAsia="zh-CN"/>
              </w:rPr>
              <w:t>要践行幼儿为本和爱与自由</w:t>
            </w:r>
            <w:r>
              <w:rPr>
                <w:rFonts w:hint="eastAsia" w:ascii="方正仿宋_GB2312" w:hAnsi="方正仿宋_GB2312" w:eastAsia="方正仿宋_GB2312" w:cs="方正仿宋_GB2312"/>
                <w:b w:val="0"/>
                <w:bCs/>
                <w:color w:val="auto"/>
                <w:sz w:val="22"/>
                <w:szCs w:val="22"/>
                <w:lang w:val="en-US" w:eastAsia="zh-CN"/>
              </w:rPr>
              <w:t>理念</w:t>
            </w:r>
            <w:r>
              <w:rPr>
                <w:rFonts w:hint="eastAsia" w:ascii="方正仿宋_GB2312" w:hAnsi="方正仿宋_GB2312" w:eastAsia="方正仿宋_GB2312" w:cs="方正仿宋_GB2312"/>
                <w:b w:val="0"/>
                <w:bCs/>
                <w:color w:val="auto"/>
                <w:sz w:val="22"/>
                <w:szCs w:val="22"/>
                <w:lang w:eastAsia="zh-CN"/>
              </w:rPr>
              <w:t>；</w:t>
            </w:r>
          </w:p>
          <w:p w14:paraId="7F854714">
            <w:pPr>
              <w:pStyle w:val="14"/>
              <w:widowControl w:val="0"/>
              <w:numPr>
                <w:ilvl w:val="0"/>
                <w:numId w:val="0"/>
              </w:numPr>
              <w:ind w:firstLine="1100" w:firstLineChars="500"/>
              <w:jc w:val="left"/>
              <w:rPr>
                <w:rFonts w:hint="eastAsia" w:ascii="方正仿宋_GB2312" w:hAnsi="方正仿宋_GB2312" w:eastAsia="方正仿宋_GB2312" w:cs="方正仿宋_GB2312"/>
                <w:b w:val="0"/>
                <w:bCs/>
                <w:color w:val="auto"/>
                <w:sz w:val="22"/>
                <w:szCs w:val="22"/>
                <w:lang w:eastAsia="zh-CN"/>
              </w:rPr>
            </w:pPr>
            <w:r>
              <w:rPr>
                <w:rFonts w:hint="eastAsia" w:ascii="方正仿宋_GB2312" w:hAnsi="方正仿宋_GB2312" w:eastAsia="方正仿宋_GB2312" w:cs="方正仿宋_GB2312"/>
                <w:b w:val="0"/>
                <w:bCs/>
                <w:color w:val="auto"/>
                <w:sz w:val="22"/>
                <w:szCs w:val="22"/>
              </w:rPr>
              <w:t>3.</w:t>
            </w:r>
            <w:r>
              <w:rPr>
                <w:rFonts w:hint="eastAsia" w:ascii="方正仿宋_GB2312" w:hAnsi="方正仿宋_GB2312" w:eastAsia="方正仿宋_GB2312" w:cs="方正仿宋_GB2312"/>
                <w:b w:val="0"/>
                <w:bCs/>
                <w:color w:val="auto"/>
                <w:sz w:val="22"/>
                <w:szCs w:val="22"/>
                <w:lang w:val="en-US" w:eastAsia="zh-CN"/>
              </w:rPr>
              <w:t>关爱呵护“留守儿童”关注未成年人的生理、心理状况和情感需求</w:t>
            </w:r>
            <w:r>
              <w:rPr>
                <w:rFonts w:hint="eastAsia" w:ascii="方正仿宋_GB2312" w:hAnsi="方正仿宋_GB2312" w:eastAsia="方正仿宋_GB2312" w:cs="方正仿宋_GB2312"/>
                <w:b w:val="0"/>
                <w:bCs/>
                <w:color w:val="auto"/>
                <w:sz w:val="22"/>
                <w:szCs w:val="22"/>
                <w:lang w:eastAsia="zh-CN"/>
              </w:rPr>
              <w:t>。</w:t>
            </w:r>
          </w:p>
          <w:p w14:paraId="3E409D1B">
            <w:pPr>
              <w:widowControl w:val="0"/>
              <w:adjustRightInd w:val="0"/>
              <w:snapToGrid w:val="0"/>
              <w:ind w:right="-50"/>
              <w:jc w:val="both"/>
              <w:rPr>
                <w:rFonts w:hint="eastAsia" w:ascii="方正仿宋_GB2312" w:hAnsi="方正仿宋_GB2312" w:eastAsia="方正仿宋_GB2312" w:cs="方正仿宋_GB2312"/>
                <w:sz w:val="22"/>
                <w:szCs w:val="22"/>
                <w:lang w:val="en-US" w:eastAsia="zh-CN"/>
              </w:rPr>
            </w:pPr>
            <w:r>
              <w:rPr>
                <w:rFonts w:hint="eastAsia" w:ascii="方正仿宋_GB2312" w:hAnsi="方正仿宋_GB2312" w:eastAsia="方正仿宋_GB2312" w:cs="方正仿宋_GB2312"/>
                <w:sz w:val="22"/>
                <w:szCs w:val="22"/>
                <w:lang w:val="en-US" w:eastAsia="zh-CN"/>
              </w:rPr>
              <w:t>重点：《儿童权利公约》中儿童保护的四项基本原则。</w:t>
            </w:r>
          </w:p>
          <w:p w14:paraId="0593209B">
            <w:pPr>
              <w:pStyle w:val="14"/>
              <w:widowControl w:val="0"/>
              <w:numPr>
                <w:ilvl w:val="0"/>
                <w:numId w:val="0"/>
              </w:numPr>
              <w:jc w:val="left"/>
              <w:rPr>
                <w:rFonts w:hint="eastAsia" w:ascii="方正仿宋_GB2312" w:hAnsi="方正仿宋_GB2312" w:eastAsia="方正仿宋_GB2312" w:cs="方正仿宋_GB2312"/>
                <w:b w:val="0"/>
                <w:bCs/>
                <w:color w:val="auto"/>
                <w:sz w:val="22"/>
                <w:szCs w:val="22"/>
                <w:lang w:eastAsia="zh-CN"/>
              </w:rPr>
            </w:pPr>
            <w:r>
              <w:rPr>
                <w:rFonts w:hint="eastAsia" w:ascii="方正仿宋_GB2312" w:hAnsi="方正仿宋_GB2312" w:eastAsia="方正仿宋_GB2312" w:cs="方正仿宋_GB2312"/>
                <w:sz w:val="22"/>
                <w:szCs w:val="22"/>
                <w:lang w:val="en-US" w:eastAsia="zh-CN"/>
              </w:rPr>
              <w:t>难点：运用《中华人民共和国未成年人保护法》，分析与评价幼儿教育工作中幼儿权利保护的实际问题。</w:t>
            </w:r>
          </w:p>
        </w:tc>
      </w:tr>
      <w:tr w14:paraId="6BF53204">
        <w:tc>
          <w:tcPr>
            <w:tcW w:w="8296" w:type="dxa"/>
          </w:tcPr>
          <w:p w14:paraId="47C1D18A">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第三单元：儿童的权利与保护（二）</w:t>
            </w:r>
          </w:p>
          <w:p w14:paraId="7FB78677">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掌握幼儿权利的基本内容；</w:t>
            </w:r>
          </w:p>
          <w:p w14:paraId="0815CD80">
            <w:pPr>
              <w:keepNext w:val="0"/>
              <w:keepLines w:val="0"/>
              <w:pageBreakBefore w:val="0"/>
              <w:widowControl w:val="0"/>
              <w:kinsoku/>
              <w:wordWrap/>
              <w:overflowPunct/>
              <w:topLinePunct w:val="0"/>
              <w:autoSpaceDE/>
              <w:autoSpaceDN/>
              <w:bidi w:val="0"/>
              <w:adjustRightInd w:val="0"/>
              <w:snapToGrid w:val="0"/>
              <w:ind w:left="-50" w:right="-51" w:firstLine="1050" w:firstLineChars="500"/>
              <w:jc w:val="both"/>
              <w:textAlignment w:val="auto"/>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bCs/>
                <w:sz w:val="21"/>
                <w:szCs w:val="21"/>
              </w:rPr>
              <w:t>2.</w:t>
            </w:r>
            <w:r>
              <w:rPr>
                <w:rFonts w:hint="eastAsia" w:ascii="方正仿宋_GB2312" w:hAnsi="方正仿宋_GB2312" w:eastAsia="方正仿宋_GB2312" w:cs="方正仿宋_GB2312"/>
                <w:bCs/>
                <w:sz w:val="21"/>
                <w:szCs w:val="21"/>
                <w:lang w:val="en-US" w:eastAsia="zh-CN"/>
              </w:rPr>
              <w:t>掌握幼儿保护的权利保护体系。</w:t>
            </w:r>
          </w:p>
          <w:p w14:paraId="4AF13754">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Cs/>
                <w:sz w:val="21"/>
                <w:szCs w:val="21"/>
                <w:lang w:eastAsia="zh-CN"/>
              </w:rPr>
            </w:pPr>
            <w:r>
              <w:rPr>
                <w:rFonts w:hint="eastAsia" w:ascii="方正仿宋_GB2312" w:hAnsi="方正仿宋_GB2312" w:eastAsia="方正仿宋_GB2312" w:cs="方正仿宋_GB2312"/>
                <w:bCs/>
                <w:sz w:val="21"/>
                <w:szCs w:val="21"/>
              </w:rPr>
              <w:t>能力目标：1.懂得如何维护幼儿的基本权利，了解侵权行为应当承担的法律后果</w:t>
            </w:r>
            <w:r>
              <w:rPr>
                <w:rFonts w:hint="eastAsia" w:ascii="方正仿宋_GB2312" w:hAnsi="方正仿宋_GB2312" w:eastAsia="方正仿宋_GB2312" w:cs="方正仿宋_GB2312"/>
                <w:bCs/>
                <w:sz w:val="21"/>
                <w:szCs w:val="21"/>
                <w:lang w:eastAsia="zh-CN"/>
              </w:rPr>
              <w:t>；</w:t>
            </w:r>
          </w:p>
          <w:p w14:paraId="4592D136">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学会保障幼儿的合法权利 ，抵制侵害幼儿权利的行为。</w:t>
            </w:r>
          </w:p>
          <w:p w14:paraId="163B3E64">
            <w:pPr>
              <w:keepNext w:val="0"/>
              <w:keepLines w:val="0"/>
              <w:pageBreakBefore w:val="0"/>
              <w:widowControl w:val="0"/>
              <w:numPr>
                <w:ilvl w:val="0"/>
                <w:numId w:val="0"/>
              </w:numPr>
              <w:kinsoku/>
              <w:wordWrap/>
              <w:overflowPunct/>
              <w:topLinePunct w:val="0"/>
              <w:autoSpaceDE/>
              <w:autoSpaceDN/>
              <w:bidi w:val="0"/>
              <w:adjustRightInd w:val="0"/>
              <w:snapToGrid w:val="0"/>
              <w:ind w:leftChars="500" w:right="-51" w:rightChars="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lang w:val="en-US" w:eastAsia="zh-CN"/>
              </w:rPr>
              <w:t>3.学会从不同主体（家庭、社会、幼儿园、立法）角度，分析幼儿保护中的具体问题。</w:t>
            </w:r>
          </w:p>
          <w:p w14:paraId="12139A6D">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 w:val="0"/>
                <w:bCs/>
                <w:color w:val="auto"/>
                <w:sz w:val="21"/>
                <w:szCs w:val="21"/>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 w:val="0"/>
                <w:bCs/>
                <w:color w:val="auto"/>
                <w:sz w:val="21"/>
                <w:szCs w:val="21"/>
              </w:rPr>
              <w:t>1.</w:t>
            </w:r>
            <w:r>
              <w:rPr>
                <w:rFonts w:hint="eastAsia" w:ascii="方正仿宋_GB2312" w:hAnsi="方正仿宋_GB2312" w:eastAsia="方正仿宋_GB2312" w:cs="方正仿宋_GB2312"/>
                <w:b w:val="0"/>
                <w:bCs/>
                <w:color w:val="auto"/>
                <w:sz w:val="21"/>
                <w:szCs w:val="21"/>
                <w:lang w:val="en-US" w:eastAsia="zh-CN"/>
              </w:rPr>
              <w:t>关注教育可持续发展，关爱儿童就是关爱人类的未来，从长远尊重儿童权利</w:t>
            </w:r>
            <w:r>
              <w:rPr>
                <w:rFonts w:hint="eastAsia" w:ascii="方正仿宋_GB2312" w:hAnsi="方正仿宋_GB2312" w:eastAsia="方正仿宋_GB2312" w:cs="方正仿宋_GB2312"/>
                <w:b w:val="0"/>
                <w:bCs/>
                <w:color w:val="auto"/>
                <w:sz w:val="21"/>
                <w:szCs w:val="21"/>
                <w:lang w:eastAsia="zh-CN"/>
              </w:rPr>
              <w:t>。</w:t>
            </w:r>
          </w:p>
          <w:p w14:paraId="466A6C50">
            <w:pPr>
              <w:keepNext w:val="0"/>
              <w:keepLines w:val="0"/>
              <w:pageBreakBefore w:val="0"/>
              <w:widowControl w:val="0"/>
              <w:kinsoku/>
              <w:wordWrap/>
              <w:overflowPunct/>
              <w:topLinePunct w:val="0"/>
              <w:autoSpaceDE/>
              <w:autoSpaceDN/>
              <w:bidi w:val="0"/>
              <w:adjustRightInd w:val="0"/>
              <w:snapToGrid w:val="0"/>
              <w:ind w:left="-50" w:right="-51" w:firstLine="1050" w:firstLineChars="500"/>
              <w:jc w:val="both"/>
              <w:textAlignment w:val="auto"/>
              <w:rPr>
                <w:rFonts w:hint="eastAsia" w:ascii="方正仿宋_GB2312" w:hAnsi="方正仿宋_GB2312" w:eastAsia="方正仿宋_GB2312" w:cs="方正仿宋_GB2312"/>
                <w:b w:val="0"/>
                <w:bCs/>
                <w:color w:val="auto"/>
                <w:sz w:val="21"/>
                <w:szCs w:val="21"/>
              </w:rPr>
            </w:pPr>
            <w:r>
              <w:rPr>
                <w:rFonts w:hint="eastAsia" w:ascii="方正仿宋_GB2312" w:hAnsi="方正仿宋_GB2312" w:eastAsia="方正仿宋_GB2312" w:cs="方正仿宋_GB2312"/>
                <w:b w:val="0"/>
                <w:bCs/>
                <w:color w:val="auto"/>
                <w:sz w:val="21"/>
                <w:szCs w:val="21"/>
              </w:rPr>
              <w:t>2.</w:t>
            </w:r>
            <w:r>
              <w:rPr>
                <w:rFonts w:hint="eastAsia" w:ascii="方正仿宋_GB2312" w:hAnsi="方正仿宋_GB2312" w:eastAsia="方正仿宋_GB2312" w:cs="方正仿宋_GB2312"/>
                <w:b w:val="0"/>
                <w:bCs/>
                <w:color w:val="auto"/>
                <w:sz w:val="21"/>
                <w:szCs w:val="21"/>
                <w:lang w:val="en-US" w:eastAsia="zh-CN"/>
              </w:rPr>
              <w:t>培养幼儿教育工作中对幼儿应当耐心教育并给予充分的理解和宽容</w:t>
            </w:r>
            <w:r>
              <w:rPr>
                <w:rFonts w:hint="eastAsia" w:ascii="方正仿宋_GB2312" w:hAnsi="方正仿宋_GB2312" w:eastAsia="方正仿宋_GB2312" w:cs="方正仿宋_GB2312"/>
                <w:b w:val="0"/>
                <w:bCs/>
                <w:color w:val="auto"/>
                <w:sz w:val="21"/>
                <w:szCs w:val="21"/>
                <w:lang w:eastAsia="zh-CN"/>
              </w:rPr>
              <w:t>。</w:t>
            </w:r>
          </w:p>
          <w:p w14:paraId="6821FEA0">
            <w:pPr>
              <w:widowControl w:val="0"/>
              <w:ind w:left="-50" w:right="-50"/>
              <w:jc w:val="center"/>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 w:val="0"/>
                <w:bCs/>
                <w:color w:val="auto"/>
                <w:sz w:val="21"/>
                <w:szCs w:val="21"/>
              </w:rPr>
              <w:t>3.</w:t>
            </w:r>
            <w:r>
              <w:rPr>
                <w:rFonts w:hint="eastAsia" w:ascii="方正仿宋_GB2312" w:hAnsi="方正仿宋_GB2312" w:eastAsia="方正仿宋_GB2312" w:cs="方正仿宋_GB2312"/>
                <w:b w:val="0"/>
                <w:bCs/>
                <w:color w:val="auto"/>
                <w:sz w:val="21"/>
                <w:szCs w:val="21"/>
                <w:lang w:val="en-US" w:eastAsia="zh-CN"/>
              </w:rPr>
              <w:t>以幼儿为本，抵制侵犯幼儿权利的行为，切实保护幼儿的合法权利。</w:t>
            </w:r>
          </w:p>
          <w:p w14:paraId="00465F58">
            <w:pPr>
              <w:widowControl w:val="0"/>
              <w:adjustRightInd w:val="0"/>
              <w:snapToGrid w:val="0"/>
              <w:ind w:right="-50"/>
              <w:jc w:val="both"/>
              <w:rPr>
                <w:rFonts w:hint="eastAsia" w:ascii="方正仿宋_GB2312" w:hAnsi="方正仿宋_GB2312" w:eastAsia="方正仿宋_GB2312" w:cs="方正仿宋_GB2312"/>
                <w:sz w:val="22"/>
                <w:szCs w:val="22"/>
                <w:lang w:val="en-US" w:eastAsia="zh-CN"/>
              </w:rPr>
            </w:pPr>
            <w:r>
              <w:rPr>
                <w:rFonts w:hint="eastAsia" w:ascii="方正仿宋_GB2312" w:hAnsi="方正仿宋_GB2312" w:eastAsia="方正仿宋_GB2312" w:cs="方正仿宋_GB2312"/>
                <w:sz w:val="22"/>
                <w:szCs w:val="22"/>
                <w:lang w:val="en-US" w:eastAsia="zh-CN"/>
              </w:rPr>
              <w:t>重点：掌握幼儿权利的基本内容</w:t>
            </w:r>
          </w:p>
          <w:p w14:paraId="4C65B71F">
            <w:pPr>
              <w:widowControl w:val="0"/>
              <w:adjustRightInd w:val="0"/>
              <w:snapToGrid w:val="0"/>
              <w:ind w:right="-50"/>
              <w:jc w:val="both"/>
              <w:rPr>
                <w:rFonts w:hint="eastAsia" w:ascii="方正仿宋_GB2312" w:hAnsi="方正仿宋_GB2312" w:eastAsia="方正仿宋_GB2312" w:cs="方正仿宋_GB2312"/>
                <w:b w:val="0"/>
                <w:bCs/>
                <w:color w:val="auto"/>
                <w:sz w:val="22"/>
                <w:szCs w:val="22"/>
                <w:lang w:eastAsia="zh-CN"/>
              </w:rPr>
            </w:pPr>
            <w:r>
              <w:rPr>
                <w:rFonts w:hint="eastAsia" w:ascii="方正仿宋_GB2312" w:hAnsi="方正仿宋_GB2312" w:eastAsia="方正仿宋_GB2312" w:cs="方正仿宋_GB2312"/>
                <w:sz w:val="22"/>
                <w:szCs w:val="22"/>
                <w:lang w:val="en-US" w:eastAsia="zh-CN"/>
              </w:rPr>
              <w:t>难点：学会从不同主体（家庭、社会、幼儿园、立法）角度，分析幼儿保护中的具体问题。</w:t>
            </w:r>
          </w:p>
        </w:tc>
      </w:tr>
      <w:tr w14:paraId="1E75F104">
        <w:tc>
          <w:tcPr>
            <w:tcW w:w="8296" w:type="dxa"/>
          </w:tcPr>
          <w:p w14:paraId="3481AE7D">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第四单元 学前教育的政府职责</w:t>
            </w:r>
          </w:p>
          <w:p w14:paraId="2FE1A4C5">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了解学前教育性质和功能的发展；</w:t>
            </w:r>
          </w:p>
          <w:p w14:paraId="3FC207C9">
            <w:pPr>
              <w:keepNext w:val="0"/>
              <w:keepLines w:val="0"/>
              <w:pageBreakBefore w:val="0"/>
              <w:widowControl w:val="0"/>
              <w:kinsoku/>
              <w:wordWrap/>
              <w:overflowPunct/>
              <w:topLinePunct w:val="0"/>
              <w:autoSpaceDE/>
              <w:autoSpaceDN/>
              <w:bidi w:val="0"/>
              <w:adjustRightInd w:val="0"/>
              <w:snapToGrid w:val="0"/>
              <w:ind w:left="-50" w:right="-51"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2.</w:t>
            </w:r>
            <w:r>
              <w:rPr>
                <w:rFonts w:hint="eastAsia" w:ascii="方正仿宋_GB2312" w:hAnsi="方正仿宋_GB2312" w:eastAsia="方正仿宋_GB2312" w:cs="方正仿宋_GB2312"/>
                <w:bCs/>
                <w:sz w:val="21"/>
                <w:szCs w:val="21"/>
                <w:lang w:val="en-US" w:eastAsia="zh-CN"/>
              </w:rPr>
              <w:t>掌握政府的学前教育职责的具体内容。</w:t>
            </w:r>
          </w:p>
          <w:p w14:paraId="0DA5B8B9">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能够理解学前教育是社会主义教育事业的组成部分，具有教育性。</w:t>
            </w:r>
          </w:p>
          <w:p w14:paraId="52C70B2A">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2.通过对学前教育功能的掌握，践行幼小衔接的注意点。</w:t>
            </w:r>
          </w:p>
          <w:p w14:paraId="3CF133E4">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 w:val="0"/>
                <w:bCs/>
                <w:color w:val="auto"/>
                <w:sz w:val="21"/>
                <w:szCs w:val="21"/>
              </w:rPr>
              <w:t>1.</w:t>
            </w:r>
            <w:r>
              <w:rPr>
                <w:rFonts w:hint="eastAsia" w:ascii="方正仿宋_GB2312" w:hAnsi="方正仿宋_GB2312" w:eastAsia="方正仿宋_GB2312" w:cs="方正仿宋_GB2312"/>
                <w:b w:val="0"/>
                <w:bCs/>
                <w:color w:val="auto"/>
                <w:sz w:val="21"/>
                <w:szCs w:val="21"/>
                <w:lang w:val="en-US" w:eastAsia="zh-CN"/>
              </w:rPr>
              <w:t>遵循幼儿身心发展的特点和规律，实施全面发展的教育。</w:t>
            </w:r>
          </w:p>
          <w:p w14:paraId="3B8F1FEA">
            <w:pPr>
              <w:widowControl w:val="0"/>
              <w:numPr>
                <w:ilvl w:val="0"/>
                <w:numId w:val="0"/>
              </w:numPr>
              <w:ind w:left="-50" w:leftChars="0" w:right="-50" w:rightChars="0" w:firstLine="1050" w:firstLineChars="500"/>
              <w:jc w:val="left"/>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 w:val="0"/>
                <w:bCs/>
                <w:color w:val="auto"/>
                <w:sz w:val="21"/>
                <w:szCs w:val="21"/>
                <w:lang w:val="en-US" w:eastAsia="zh-CN" w:bidi="ar-SA"/>
              </w:rPr>
              <w:t>2.</w:t>
            </w:r>
            <w:r>
              <w:rPr>
                <w:rFonts w:hint="eastAsia" w:ascii="方正仿宋_GB2312" w:hAnsi="方正仿宋_GB2312" w:eastAsia="方正仿宋_GB2312" w:cs="方正仿宋_GB2312"/>
                <w:b w:val="0"/>
                <w:bCs/>
                <w:color w:val="auto"/>
                <w:sz w:val="21"/>
                <w:szCs w:val="21"/>
                <w:lang w:val="en-US" w:eastAsia="zh-CN"/>
              </w:rPr>
              <w:t>理解学前教育活动必须符合国家和社会公共利益。</w:t>
            </w:r>
          </w:p>
          <w:p w14:paraId="537449AE">
            <w:pPr>
              <w:widowControl w:val="0"/>
              <w:adjustRightInd w:val="0"/>
              <w:snapToGrid w:val="0"/>
              <w:ind w:right="-50"/>
              <w:jc w:val="both"/>
              <w:rPr>
                <w:rFonts w:hint="eastAsia" w:ascii="方正仿宋_GB2312" w:hAnsi="方正仿宋_GB2312" w:eastAsia="方正仿宋_GB2312" w:cs="方正仿宋_GB2312"/>
                <w:sz w:val="22"/>
                <w:szCs w:val="22"/>
                <w:lang w:val="en-US" w:eastAsia="zh-CN"/>
              </w:rPr>
            </w:pPr>
            <w:r>
              <w:rPr>
                <w:rFonts w:hint="eastAsia" w:ascii="方正仿宋_GB2312" w:hAnsi="方正仿宋_GB2312" w:eastAsia="方正仿宋_GB2312" w:cs="方正仿宋_GB2312"/>
                <w:sz w:val="22"/>
                <w:szCs w:val="22"/>
                <w:lang w:val="en-US" w:eastAsia="zh-CN"/>
              </w:rPr>
              <w:t>重点：政府学前教育职责具体内容的掌握</w:t>
            </w:r>
          </w:p>
          <w:p w14:paraId="3B71071C">
            <w:pPr>
              <w:widowControl w:val="0"/>
              <w:adjustRightInd w:val="0"/>
              <w:snapToGrid w:val="0"/>
              <w:ind w:right="-50"/>
              <w:jc w:val="both"/>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sz w:val="22"/>
                <w:szCs w:val="22"/>
                <w:lang w:val="en-US" w:eastAsia="zh-CN"/>
              </w:rPr>
              <w:t>难点：政府学前教育职责具体内容的掌握</w:t>
            </w:r>
          </w:p>
        </w:tc>
      </w:tr>
      <w:tr w14:paraId="2B518DE5">
        <w:tc>
          <w:tcPr>
            <w:tcW w:w="8296" w:type="dxa"/>
          </w:tcPr>
          <w:p w14:paraId="5D28917E">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第五单元 学前教育的政府管理</w:t>
            </w:r>
          </w:p>
          <w:p w14:paraId="3C7F0FBF">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知识目标：1.了解我国学前教育行政管理体制</w:t>
            </w:r>
            <w:r>
              <w:rPr>
                <w:rFonts w:hint="eastAsia" w:ascii="方正仿宋_GB2312" w:hAnsi="方正仿宋_GB2312" w:eastAsia="方正仿宋_GB2312" w:cs="方正仿宋_GB2312"/>
                <w:bCs/>
                <w:sz w:val="21"/>
                <w:szCs w:val="21"/>
                <w:lang w:val="en-US" w:eastAsia="zh-CN"/>
              </w:rPr>
              <w:t>；</w:t>
            </w:r>
          </w:p>
          <w:p w14:paraId="1FCFBB58">
            <w:pPr>
              <w:keepNext w:val="0"/>
              <w:keepLines w:val="0"/>
              <w:pageBreakBefore w:val="0"/>
              <w:widowControl w:val="0"/>
              <w:kinsoku/>
              <w:wordWrap/>
              <w:overflowPunct/>
              <w:topLinePunct w:val="0"/>
              <w:autoSpaceDE/>
              <w:autoSpaceDN/>
              <w:bidi w:val="0"/>
              <w:adjustRightInd w:val="0"/>
              <w:snapToGrid w:val="0"/>
              <w:ind w:left="-50" w:right="-51"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2.</w:t>
            </w:r>
            <w:r>
              <w:rPr>
                <w:rFonts w:hint="eastAsia" w:ascii="方正仿宋_GB2312" w:hAnsi="方正仿宋_GB2312" w:eastAsia="方正仿宋_GB2312" w:cs="方正仿宋_GB2312"/>
                <w:bCs/>
                <w:sz w:val="21"/>
                <w:szCs w:val="21"/>
                <w:lang w:val="en-US" w:eastAsia="zh-CN"/>
              </w:rPr>
              <w:t>理解我国学前教育机构现行的运行体制。</w:t>
            </w:r>
          </w:p>
          <w:p w14:paraId="3669F748">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初步学会学前教育的行政管理机制的改革方向。</w:t>
            </w:r>
          </w:p>
          <w:p w14:paraId="4028C5F8">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rPr>
              <w:t>理论联系实际</w:t>
            </w:r>
            <w:r>
              <w:rPr>
                <w:rFonts w:hint="eastAsia" w:ascii="方正仿宋_GB2312" w:hAnsi="方正仿宋_GB2312" w:eastAsia="方正仿宋_GB2312" w:cs="方正仿宋_GB2312"/>
                <w:bCs/>
                <w:sz w:val="21"/>
                <w:szCs w:val="21"/>
                <w:lang w:eastAsia="zh-CN"/>
              </w:rPr>
              <w:t>，</w:t>
            </w:r>
            <w:r>
              <w:rPr>
                <w:rFonts w:hint="eastAsia" w:ascii="方正仿宋_GB2312" w:hAnsi="方正仿宋_GB2312" w:eastAsia="方正仿宋_GB2312" w:cs="方正仿宋_GB2312"/>
                <w:bCs/>
                <w:sz w:val="21"/>
                <w:szCs w:val="21"/>
              </w:rPr>
              <w:t>思考如何完善学前教育的行政管理体制</w:t>
            </w:r>
            <w:r>
              <w:rPr>
                <w:rFonts w:hint="eastAsia" w:ascii="方正仿宋_GB2312" w:hAnsi="方正仿宋_GB2312" w:eastAsia="方正仿宋_GB2312" w:cs="方正仿宋_GB2312"/>
                <w:bCs/>
                <w:kern w:val="2"/>
                <w:sz w:val="21"/>
                <w:szCs w:val="21"/>
                <w:lang w:val="en-US" w:eastAsia="zh-CN" w:bidi="ar-SA"/>
              </w:rPr>
              <w:t>。</w:t>
            </w:r>
          </w:p>
          <w:p w14:paraId="03997949">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 w:val="0"/>
                <w:bCs/>
                <w:color w:val="auto"/>
                <w:sz w:val="21"/>
                <w:szCs w:val="21"/>
              </w:rPr>
              <w:t>1.</w:t>
            </w:r>
            <w:r>
              <w:rPr>
                <w:rFonts w:hint="eastAsia" w:ascii="方正仿宋_GB2312" w:hAnsi="方正仿宋_GB2312" w:eastAsia="方正仿宋_GB2312" w:cs="方正仿宋_GB2312"/>
                <w:b w:val="0"/>
                <w:bCs/>
                <w:color w:val="auto"/>
                <w:sz w:val="21"/>
                <w:szCs w:val="21"/>
                <w:lang w:val="en-US" w:eastAsia="zh-CN"/>
              </w:rPr>
              <w:t>以我国幼教行政管理的主要成绩为荣。</w:t>
            </w:r>
          </w:p>
          <w:p w14:paraId="23D55163">
            <w:pPr>
              <w:widowControl w:val="0"/>
              <w:numPr>
                <w:ilvl w:val="0"/>
                <w:numId w:val="0"/>
              </w:numPr>
              <w:ind w:right="-50" w:rightChars="0" w:firstLine="1050" w:firstLineChars="500"/>
              <w:jc w:val="left"/>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 w:val="0"/>
                <w:bCs/>
                <w:color w:val="auto"/>
                <w:sz w:val="21"/>
                <w:szCs w:val="21"/>
                <w:lang w:val="en-US" w:eastAsia="zh-CN" w:bidi="ar-SA"/>
              </w:rPr>
              <w:t>2.</w:t>
            </w:r>
            <w:r>
              <w:rPr>
                <w:rFonts w:hint="eastAsia" w:ascii="方正仿宋_GB2312" w:hAnsi="方正仿宋_GB2312" w:eastAsia="方正仿宋_GB2312" w:cs="方正仿宋_GB2312"/>
                <w:b w:val="0"/>
                <w:bCs/>
                <w:color w:val="auto"/>
                <w:sz w:val="21"/>
                <w:szCs w:val="21"/>
                <w:lang w:val="en-US" w:eastAsia="zh-CN"/>
              </w:rPr>
              <w:t>发扬学前教育教育性和福利性的双重性质。</w:t>
            </w:r>
          </w:p>
          <w:p w14:paraId="300446A5">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重点：我国学前教育机构现行运行体制的掌握</w:t>
            </w:r>
          </w:p>
          <w:p w14:paraId="5A5756D9">
            <w:pPr>
              <w:widowControl w:val="0"/>
              <w:numPr>
                <w:ilvl w:val="0"/>
                <w:numId w:val="0"/>
              </w:numPr>
              <w:snapToGrid w:val="0"/>
              <w:spacing w:line="288" w:lineRule="auto"/>
              <w:ind w:right="26" w:rightChars="0"/>
              <w:jc w:val="left"/>
              <w:rPr>
                <w:rFonts w:hint="eastAsia" w:ascii="方正仿宋_GB2312" w:hAnsi="方正仿宋_GB2312" w:eastAsia="方正仿宋_GB2312" w:cs="方正仿宋_GB2312"/>
                <w:b w:val="0"/>
                <w:bCs/>
                <w:color w:val="auto"/>
                <w:sz w:val="21"/>
                <w:szCs w:val="21"/>
                <w:lang w:val="en-US" w:eastAsia="zh-CN"/>
              </w:rPr>
            </w:pPr>
            <w:r>
              <w:rPr>
                <w:rFonts w:hint="eastAsia" w:asciiTheme="minorEastAsia" w:hAnsiTheme="minorEastAsia" w:eastAsiaTheme="minorEastAsia" w:cstheme="minorEastAsia"/>
                <w:sz w:val="20"/>
                <w:szCs w:val="20"/>
                <w:lang w:val="en-US" w:eastAsia="zh-CN"/>
              </w:rPr>
              <w:t>难点：我国学前教育机构现行运行体制的掌握</w:t>
            </w:r>
          </w:p>
        </w:tc>
      </w:tr>
      <w:tr w14:paraId="388D8945">
        <w:tc>
          <w:tcPr>
            <w:tcW w:w="8296" w:type="dxa"/>
          </w:tcPr>
          <w:p w14:paraId="24B0FBEF">
            <w:pPr>
              <w:widowControl w:val="0"/>
              <w:numPr>
                <w:ilvl w:val="0"/>
                <w:numId w:val="0"/>
              </w:numPr>
              <w:snapToGrid w:val="0"/>
              <w:spacing w:line="288" w:lineRule="auto"/>
              <w:ind w:right="26" w:rightChars="0"/>
              <w:jc w:val="left"/>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第六单元  幼儿园的法律地位</w:t>
            </w:r>
          </w:p>
          <w:p w14:paraId="649B65F1">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知识目标：1.理解法律地位的含义</w:t>
            </w:r>
            <w:r>
              <w:rPr>
                <w:rFonts w:hint="eastAsia" w:ascii="方正仿宋_GB2312" w:hAnsi="方正仿宋_GB2312" w:eastAsia="方正仿宋_GB2312" w:cs="方正仿宋_GB2312"/>
                <w:bCs/>
                <w:sz w:val="21"/>
                <w:szCs w:val="21"/>
                <w:lang w:val="en-US" w:eastAsia="zh-CN"/>
              </w:rPr>
              <w:t>；</w:t>
            </w:r>
          </w:p>
          <w:p w14:paraId="3BE5ACA0">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了解幼儿园法律地位的内在实质与外在形式；</w:t>
            </w:r>
          </w:p>
          <w:p w14:paraId="6B001CE1">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3</w:t>
            </w:r>
            <w:r>
              <w:rPr>
                <w:rFonts w:hint="default" w:ascii="方正仿宋_GB2312" w:hAnsi="方正仿宋_GB2312" w:eastAsia="方正仿宋_GB2312" w:cs="方正仿宋_GB2312"/>
                <w:bCs/>
                <w:kern w:val="2"/>
                <w:sz w:val="21"/>
                <w:szCs w:val="21"/>
                <w:lang w:val="en-US" w:eastAsia="zh-CN" w:bidi="ar-SA"/>
              </w:rPr>
              <w:t>.</w:t>
            </w:r>
            <w:r>
              <w:rPr>
                <w:rFonts w:hint="default" w:ascii="方正仿宋_GB2312" w:hAnsi="方正仿宋_GB2312" w:eastAsia="方正仿宋_GB2312" w:cs="方正仿宋_GB2312"/>
                <w:bCs/>
                <w:sz w:val="21"/>
                <w:szCs w:val="21"/>
                <w:lang w:val="en-US" w:eastAsia="zh-CN"/>
              </w:rPr>
              <w:t>了解幼儿园与其他民事主体的法律关系及其特征</w:t>
            </w:r>
            <w:r>
              <w:rPr>
                <w:rFonts w:hint="eastAsia" w:ascii="方正仿宋_GB2312" w:hAnsi="方正仿宋_GB2312" w:eastAsia="方正仿宋_GB2312" w:cs="方正仿宋_GB2312"/>
                <w:bCs/>
                <w:sz w:val="21"/>
                <w:szCs w:val="21"/>
                <w:lang w:val="en-US" w:eastAsia="zh-CN"/>
              </w:rPr>
              <w:t>；</w:t>
            </w:r>
          </w:p>
          <w:p w14:paraId="2176012D">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4</w:t>
            </w:r>
            <w:r>
              <w:rPr>
                <w:rFonts w:hint="default" w:ascii="方正仿宋_GB2312" w:hAnsi="方正仿宋_GB2312" w:eastAsia="方正仿宋_GB2312" w:cs="方正仿宋_GB2312"/>
                <w:bCs/>
                <w:kern w:val="2"/>
                <w:sz w:val="21"/>
                <w:szCs w:val="21"/>
                <w:lang w:val="en-US" w:eastAsia="zh-CN" w:bidi="ar-SA"/>
              </w:rPr>
              <w:t>.</w:t>
            </w:r>
            <w:r>
              <w:rPr>
                <w:rFonts w:hint="default" w:ascii="方正仿宋_GB2312" w:hAnsi="方正仿宋_GB2312" w:eastAsia="方正仿宋_GB2312" w:cs="方正仿宋_GB2312"/>
                <w:bCs/>
                <w:sz w:val="21"/>
                <w:szCs w:val="21"/>
                <w:lang w:val="en-US" w:eastAsia="zh-CN"/>
              </w:rPr>
              <w:t>理解幼儿园的法人地位与行政地位的差异</w:t>
            </w:r>
            <w:r>
              <w:rPr>
                <w:rFonts w:hint="eastAsia" w:ascii="方正仿宋_GB2312" w:hAnsi="方正仿宋_GB2312" w:eastAsia="方正仿宋_GB2312" w:cs="方正仿宋_GB2312"/>
                <w:bCs/>
                <w:sz w:val="21"/>
                <w:szCs w:val="21"/>
                <w:lang w:val="en-US" w:eastAsia="zh-CN"/>
              </w:rPr>
              <w:t>；</w:t>
            </w:r>
          </w:p>
          <w:p w14:paraId="4391372E">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5</w:t>
            </w:r>
            <w:r>
              <w:rPr>
                <w:rFonts w:hint="default" w:ascii="方正仿宋_GB2312" w:hAnsi="方正仿宋_GB2312" w:eastAsia="方正仿宋_GB2312" w:cs="方正仿宋_GB2312"/>
                <w:bCs/>
                <w:kern w:val="2"/>
                <w:sz w:val="21"/>
                <w:szCs w:val="21"/>
                <w:lang w:val="en-US" w:eastAsia="zh-CN" w:bidi="ar-SA"/>
              </w:rPr>
              <w:t>.</w:t>
            </w:r>
            <w:r>
              <w:rPr>
                <w:rFonts w:hint="default" w:ascii="方正仿宋_GB2312" w:hAnsi="方正仿宋_GB2312" w:eastAsia="方正仿宋_GB2312" w:cs="方正仿宋_GB2312"/>
                <w:bCs/>
                <w:sz w:val="21"/>
                <w:szCs w:val="21"/>
                <w:lang w:val="en-US" w:eastAsia="zh-CN"/>
              </w:rPr>
              <w:t>了解幼儿园的民事权利与义务</w:t>
            </w:r>
            <w:r>
              <w:rPr>
                <w:rFonts w:hint="eastAsia" w:ascii="方正仿宋_GB2312" w:hAnsi="方正仿宋_GB2312" w:eastAsia="方正仿宋_GB2312" w:cs="方正仿宋_GB2312"/>
                <w:bCs/>
                <w:sz w:val="21"/>
                <w:szCs w:val="21"/>
                <w:lang w:val="en-US" w:eastAsia="zh-CN"/>
              </w:rPr>
              <w:t>；</w:t>
            </w:r>
          </w:p>
          <w:p w14:paraId="42C37611">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6</w:t>
            </w:r>
            <w:r>
              <w:rPr>
                <w:rFonts w:hint="default" w:ascii="方正仿宋_GB2312" w:hAnsi="方正仿宋_GB2312" w:eastAsia="方正仿宋_GB2312" w:cs="方正仿宋_GB2312"/>
                <w:bCs/>
                <w:kern w:val="2"/>
                <w:sz w:val="21"/>
                <w:szCs w:val="21"/>
                <w:lang w:val="en-US" w:eastAsia="zh-CN" w:bidi="ar-SA"/>
              </w:rPr>
              <w:t>.</w:t>
            </w:r>
            <w:r>
              <w:rPr>
                <w:rFonts w:hint="default" w:ascii="方正仿宋_GB2312" w:hAnsi="方正仿宋_GB2312" w:eastAsia="方正仿宋_GB2312" w:cs="方正仿宋_GB2312"/>
                <w:bCs/>
                <w:sz w:val="21"/>
                <w:szCs w:val="21"/>
                <w:lang w:val="en-US" w:eastAsia="zh-CN"/>
              </w:rPr>
              <w:t>理解权利与权力的区别。</w:t>
            </w:r>
          </w:p>
          <w:p w14:paraId="53F9280D">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能够概括幼儿园法律地位的特点；</w:t>
            </w:r>
          </w:p>
          <w:p w14:paraId="6F38F27F">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kern w:val="2"/>
                <w:sz w:val="21"/>
                <w:szCs w:val="21"/>
                <w:lang w:val="en-US" w:eastAsia="zh-CN" w:bidi="ar-SA"/>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能够概括</w:t>
            </w:r>
            <w:r>
              <w:rPr>
                <w:rFonts w:hint="eastAsia" w:ascii="方正仿宋_GB2312" w:hAnsi="方正仿宋_GB2312" w:eastAsia="方正仿宋_GB2312" w:cs="方正仿宋_GB2312"/>
                <w:bCs/>
                <w:sz w:val="21"/>
                <w:szCs w:val="21"/>
              </w:rPr>
              <w:t>幼儿园与教育行政机关的法律关系及其特征</w:t>
            </w:r>
            <w:r>
              <w:rPr>
                <w:rFonts w:hint="eastAsia" w:ascii="方正仿宋_GB2312" w:hAnsi="方正仿宋_GB2312" w:eastAsia="方正仿宋_GB2312" w:cs="方正仿宋_GB2312"/>
                <w:bCs/>
                <w:sz w:val="21"/>
                <w:szCs w:val="21"/>
                <w:lang w:eastAsia="zh-CN"/>
              </w:rPr>
              <w:t>；</w:t>
            </w:r>
          </w:p>
          <w:p w14:paraId="6962E9CC">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kern w:val="2"/>
                <w:sz w:val="21"/>
                <w:szCs w:val="21"/>
                <w:lang w:val="en-US" w:eastAsia="zh-CN" w:bidi="ar-SA"/>
              </w:rPr>
            </w:pPr>
            <w:r>
              <w:rPr>
                <w:rFonts w:hint="default" w:ascii="方正仿宋_GB2312" w:hAnsi="方正仿宋_GB2312" w:eastAsia="方正仿宋_GB2312" w:cs="方正仿宋_GB2312"/>
                <w:bCs/>
                <w:kern w:val="2"/>
                <w:sz w:val="21"/>
                <w:szCs w:val="21"/>
                <w:lang w:val="en-US" w:eastAsia="zh-CN" w:bidi="ar-SA"/>
              </w:rPr>
              <w:t>3.</w:t>
            </w:r>
            <w:r>
              <w:rPr>
                <w:rFonts w:hint="eastAsia" w:ascii="方正仿宋_GB2312" w:hAnsi="方正仿宋_GB2312" w:eastAsia="方正仿宋_GB2312" w:cs="方正仿宋_GB2312"/>
                <w:bCs/>
                <w:sz w:val="21"/>
                <w:szCs w:val="21"/>
                <w:lang w:val="en-US" w:eastAsia="zh-CN"/>
              </w:rPr>
              <w:t>能够梳理</w:t>
            </w:r>
            <w:r>
              <w:rPr>
                <w:rFonts w:hint="default" w:ascii="方正仿宋_GB2312" w:hAnsi="方正仿宋_GB2312" w:eastAsia="方正仿宋_GB2312" w:cs="方正仿宋_GB2312"/>
                <w:bCs/>
                <w:kern w:val="2"/>
                <w:sz w:val="21"/>
                <w:szCs w:val="21"/>
                <w:lang w:val="en-US" w:eastAsia="zh-CN" w:bidi="ar-SA"/>
              </w:rPr>
              <w:t>幼儿园的教育权利与义务</w:t>
            </w:r>
            <w:r>
              <w:rPr>
                <w:rFonts w:hint="eastAsia" w:ascii="方正仿宋_GB2312" w:hAnsi="方正仿宋_GB2312" w:eastAsia="方正仿宋_GB2312" w:cs="方正仿宋_GB2312"/>
                <w:bCs/>
                <w:kern w:val="2"/>
                <w:sz w:val="21"/>
                <w:szCs w:val="21"/>
                <w:lang w:val="en-US" w:eastAsia="zh-CN" w:bidi="ar-SA"/>
              </w:rPr>
              <w:t>；</w:t>
            </w:r>
          </w:p>
          <w:p w14:paraId="35BE7CE4">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 w:val="0"/>
                <w:bCs/>
                <w:color w:val="auto"/>
                <w:sz w:val="21"/>
                <w:szCs w:val="21"/>
              </w:rPr>
              <w:t>1.</w:t>
            </w:r>
            <w:r>
              <w:rPr>
                <w:rFonts w:hint="eastAsia" w:ascii="方正仿宋_GB2312" w:hAnsi="方正仿宋_GB2312" w:eastAsia="方正仿宋_GB2312" w:cs="方正仿宋_GB2312"/>
                <w:b w:val="0"/>
                <w:bCs/>
                <w:color w:val="auto"/>
                <w:sz w:val="21"/>
                <w:szCs w:val="21"/>
                <w:lang w:val="en-US" w:eastAsia="zh-CN"/>
              </w:rPr>
              <w:t>能够</w:t>
            </w:r>
            <w:r>
              <w:rPr>
                <w:rFonts w:hint="eastAsia" w:ascii="方正仿宋_GB2312" w:hAnsi="方正仿宋_GB2312" w:eastAsia="方正仿宋_GB2312" w:cs="方正仿宋_GB2312"/>
                <w:b w:val="0"/>
                <w:bCs/>
                <w:color w:val="auto"/>
                <w:sz w:val="21"/>
                <w:szCs w:val="21"/>
              </w:rPr>
              <w:t>在执教过程中要遵守法律、法规</w:t>
            </w:r>
            <w:r>
              <w:rPr>
                <w:rFonts w:hint="eastAsia" w:ascii="方正仿宋_GB2312" w:hAnsi="方正仿宋_GB2312" w:eastAsia="方正仿宋_GB2312" w:cs="方正仿宋_GB2312"/>
                <w:b w:val="0"/>
                <w:bCs/>
                <w:color w:val="auto"/>
                <w:sz w:val="21"/>
                <w:szCs w:val="21"/>
                <w:lang w:val="en-US" w:eastAsia="zh-CN"/>
              </w:rPr>
              <w:t>；</w:t>
            </w:r>
          </w:p>
          <w:p w14:paraId="583B5557">
            <w:pPr>
              <w:widowControl w:val="0"/>
              <w:numPr>
                <w:ilvl w:val="0"/>
                <w:numId w:val="0"/>
              </w:numPr>
              <w:snapToGrid w:val="0"/>
              <w:spacing w:line="288" w:lineRule="auto"/>
              <w:ind w:right="26" w:rightChars="0"/>
              <w:jc w:val="left"/>
              <w:rPr>
                <w:rFonts w:hint="eastAsia" w:ascii="方正仿宋_GB2312" w:hAnsi="方正仿宋_GB2312" w:eastAsia="方正仿宋_GB2312" w:cs="方正仿宋_GB2312"/>
                <w:bCs/>
                <w:kern w:val="2"/>
                <w:sz w:val="21"/>
                <w:szCs w:val="21"/>
                <w:lang w:val="en-US" w:eastAsia="zh-CN" w:bidi="ar-SA"/>
              </w:rPr>
            </w:pPr>
            <w:r>
              <w:rPr>
                <w:rFonts w:hint="eastAsia" w:ascii="方正仿宋_GB2312" w:hAnsi="方正仿宋_GB2312" w:eastAsia="方正仿宋_GB2312" w:cs="方正仿宋_GB2312"/>
                <w:bCs/>
                <w:kern w:val="2"/>
                <w:sz w:val="21"/>
                <w:szCs w:val="21"/>
                <w:lang w:val="en-US" w:eastAsia="zh-CN" w:bidi="ar-SA"/>
              </w:rPr>
              <w:t>2.明白幼儿园的教育权力和义务，贯彻国家的教育方针，执行国家保教标准，保证保教质量。</w:t>
            </w:r>
          </w:p>
          <w:p w14:paraId="753F915A">
            <w:pPr>
              <w:widowControl w:val="0"/>
              <w:snapToGrid w:val="0"/>
              <w:spacing w:line="288" w:lineRule="auto"/>
              <w:ind w:right="26"/>
              <w:jc w:val="both"/>
              <w:rPr>
                <w:rFonts w:ascii="仿宋_GB2312" w:eastAsia="仿宋_GB2312"/>
                <w:bCs/>
                <w:sz w:val="22"/>
              </w:rPr>
            </w:pPr>
            <w:r>
              <w:rPr>
                <w:rFonts w:hint="eastAsia" w:ascii="仿宋_GB2312" w:eastAsia="仿宋_GB2312"/>
                <w:bCs/>
                <w:sz w:val="22"/>
              </w:rPr>
              <w:t>重点：</w:t>
            </w:r>
            <w:r>
              <w:rPr>
                <w:rFonts w:hint="default" w:ascii="方正仿宋_GB2312" w:hAnsi="方正仿宋_GB2312" w:eastAsia="方正仿宋_GB2312" w:cs="方正仿宋_GB2312"/>
                <w:bCs/>
                <w:sz w:val="21"/>
                <w:szCs w:val="21"/>
                <w:lang w:val="en-US" w:eastAsia="zh-CN"/>
              </w:rPr>
              <w:t>幼儿园民事权利与义务</w:t>
            </w:r>
            <w:r>
              <w:rPr>
                <w:rFonts w:hint="eastAsia" w:ascii="方正仿宋_GB2312" w:hAnsi="方正仿宋_GB2312" w:eastAsia="方正仿宋_GB2312" w:cs="方正仿宋_GB2312"/>
                <w:bCs/>
                <w:sz w:val="21"/>
                <w:szCs w:val="21"/>
                <w:lang w:val="en-US" w:eastAsia="zh-CN"/>
              </w:rPr>
              <w:t>的掌握</w:t>
            </w:r>
          </w:p>
          <w:p w14:paraId="05CF2C31">
            <w:pPr>
              <w:widowControl w:val="0"/>
              <w:numPr>
                <w:ilvl w:val="0"/>
                <w:numId w:val="0"/>
              </w:numPr>
              <w:snapToGrid w:val="0"/>
              <w:spacing w:line="288" w:lineRule="auto"/>
              <w:ind w:right="26" w:rightChars="0"/>
              <w:jc w:val="left"/>
              <w:rPr>
                <w:rFonts w:hint="eastAsia" w:ascii="方正仿宋_GB2312" w:hAnsi="方正仿宋_GB2312" w:eastAsia="方正仿宋_GB2312" w:cs="方正仿宋_GB2312"/>
                <w:bCs/>
                <w:kern w:val="2"/>
                <w:sz w:val="21"/>
                <w:szCs w:val="21"/>
                <w:lang w:val="en-US" w:eastAsia="zh-CN" w:bidi="ar-SA"/>
              </w:rPr>
            </w:pPr>
            <w:r>
              <w:rPr>
                <w:rFonts w:hint="eastAsia" w:ascii="仿宋_GB2312" w:eastAsia="仿宋_GB2312"/>
                <w:bCs/>
                <w:sz w:val="22"/>
              </w:rPr>
              <w:t>难点：</w:t>
            </w:r>
            <w:r>
              <w:rPr>
                <w:rFonts w:hint="default" w:ascii="方正仿宋_GB2312" w:hAnsi="方正仿宋_GB2312" w:eastAsia="方正仿宋_GB2312" w:cs="方正仿宋_GB2312"/>
                <w:bCs/>
                <w:kern w:val="2"/>
                <w:sz w:val="21"/>
                <w:szCs w:val="21"/>
                <w:lang w:val="en-US" w:eastAsia="zh-CN" w:bidi="ar-SA"/>
              </w:rPr>
              <w:t>幼儿园教育权利与义务</w:t>
            </w:r>
            <w:r>
              <w:rPr>
                <w:rFonts w:hint="eastAsia" w:ascii="方正仿宋_GB2312" w:hAnsi="方正仿宋_GB2312" w:eastAsia="方正仿宋_GB2312" w:cs="方正仿宋_GB2312"/>
                <w:bCs/>
                <w:sz w:val="21"/>
                <w:szCs w:val="21"/>
                <w:lang w:val="en-US" w:eastAsia="zh-CN"/>
              </w:rPr>
              <w:t>的掌握</w:t>
            </w:r>
          </w:p>
        </w:tc>
      </w:tr>
      <w:tr w14:paraId="5BAA7192">
        <w:tc>
          <w:tcPr>
            <w:tcW w:w="8296" w:type="dxa"/>
          </w:tcPr>
          <w:p w14:paraId="33D74870">
            <w:pPr>
              <w:widowControl w:val="0"/>
              <w:numPr>
                <w:ilvl w:val="0"/>
                <w:numId w:val="0"/>
              </w:numPr>
              <w:ind w:right="-50" w:rightChars="0"/>
              <w:jc w:val="both"/>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第七单元  幼儿园的设立与运行</w:t>
            </w:r>
          </w:p>
          <w:p w14:paraId="260A149B">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.掌握法律对举办幼儿园的主体资格的限定情形；</w:t>
            </w:r>
          </w:p>
          <w:p w14:paraId="206E034F">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2.掌握举办幼儿园的四大实体要件,了解幼儿园登记注册程序</w:t>
            </w:r>
            <w:r>
              <w:rPr>
                <w:rFonts w:hint="eastAsia" w:ascii="方正仿宋_GB2312" w:hAnsi="方正仿宋_GB2312" w:eastAsia="方正仿宋_GB2312" w:cs="方正仿宋_GB2312"/>
                <w:bCs/>
                <w:sz w:val="21"/>
                <w:szCs w:val="21"/>
                <w:lang w:val="en-US" w:eastAsia="zh-CN"/>
              </w:rPr>
              <w:t>；</w:t>
            </w:r>
          </w:p>
          <w:p w14:paraId="15350DAE">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3</w:t>
            </w:r>
            <w:r>
              <w:rPr>
                <w:rFonts w:hint="default" w:ascii="方正仿宋_GB2312" w:hAnsi="方正仿宋_GB2312" w:eastAsia="方正仿宋_GB2312" w:cs="方正仿宋_GB2312"/>
                <w:bCs/>
                <w:kern w:val="2"/>
                <w:sz w:val="21"/>
                <w:szCs w:val="21"/>
                <w:lang w:val="en-US" w:eastAsia="zh-CN" w:bidi="ar-SA"/>
              </w:rPr>
              <w:t>.了解幼儿园准入制度以及与登记注册的关系</w:t>
            </w:r>
            <w:r>
              <w:rPr>
                <w:rFonts w:hint="eastAsia" w:ascii="方正仿宋_GB2312" w:hAnsi="方正仿宋_GB2312" w:eastAsia="方正仿宋_GB2312" w:cs="方正仿宋_GB2312"/>
                <w:bCs/>
                <w:sz w:val="21"/>
                <w:szCs w:val="21"/>
                <w:lang w:val="en-US" w:eastAsia="zh-CN"/>
              </w:rPr>
              <w:t>；</w:t>
            </w:r>
          </w:p>
          <w:p w14:paraId="4183B08D">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4</w:t>
            </w:r>
            <w:r>
              <w:rPr>
                <w:rFonts w:hint="default" w:ascii="方正仿宋_GB2312" w:hAnsi="方正仿宋_GB2312" w:eastAsia="方正仿宋_GB2312" w:cs="方正仿宋_GB2312"/>
                <w:bCs/>
                <w:kern w:val="2"/>
                <w:sz w:val="21"/>
                <w:szCs w:val="21"/>
                <w:lang w:val="en-US" w:eastAsia="zh-CN" w:bidi="ar-SA"/>
              </w:rPr>
              <w:t>.掌握教师聘任制的概念要素与内容,能运用相关法条分析相关案例</w:t>
            </w:r>
            <w:r>
              <w:rPr>
                <w:rFonts w:hint="eastAsia" w:ascii="方正仿宋_GB2312" w:hAnsi="方正仿宋_GB2312" w:eastAsia="方正仿宋_GB2312" w:cs="方正仿宋_GB2312"/>
                <w:bCs/>
                <w:sz w:val="21"/>
                <w:szCs w:val="21"/>
                <w:lang w:val="en-US" w:eastAsia="zh-CN"/>
              </w:rPr>
              <w:t>；</w:t>
            </w:r>
          </w:p>
          <w:p w14:paraId="54383993">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能够</w:t>
            </w:r>
            <w:r>
              <w:rPr>
                <w:rFonts w:hint="eastAsia" w:ascii="方正仿宋_GB2312" w:hAnsi="方正仿宋_GB2312" w:eastAsia="方正仿宋_GB2312" w:cs="方正仿宋_GB2312"/>
                <w:bCs/>
                <w:sz w:val="21"/>
                <w:szCs w:val="21"/>
              </w:rPr>
              <w:t>熟悉幼儿园经费的各种来源渠道,了解有关经费管理的政策与法规</w:t>
            </w:r>
            <w:r>
              <w:rPr>
                <w:rFonts w:hint="eastAsia" w:ascii="方正仿宋_GB2312" w:hAnsi="方正仿宋_GB2312" w:eastAsia="方正仿宋_GB2312" w:cs="方正仿宋_GB2312"/>
                <w:bCs/>
                <w:sz w:val="21"/>
                <w:szCs w:val="21"/>
                <w:lang w:val="en-US" w:eastAsia="zh-CN"/>
              </w:rPr>
              <w:t>；</w:t>
            </w:r>
          </w:p>
          <w:p w14:paraId="75C5F6A0">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kern w:val="2"/>
                <w:sz w:val="21"/>
                <w:szCs w:val="21"/>
                <w:lang w:val="en-US" w:eastAsia="zh-CN" w:bidi="ar-SA"/>
              </w:rPr>
            </w:pPr>
            <w:r>
              <w:rPr>
                <w:rFonts w:hint="eastAsia" w:ascii="方正仿宋_GB2312" w:hAnsi="方正仿宋_GB2312" w:eastAsia="方正仿宋_GB2312" w:cs="方正仿宋_GB2312"/>
                <w:bCs/>
                <w:kern w:val="2"/>
                <w:sz w:val="21"/>
                <w:szCs w:val="21"/>
                <w:lang w:val="en-US" w:eastAsia="zh-CN" w:bidi="ar-SA"/>
              </w:rPr>
              <w:t>2.能够学会幼儿园作为法人的变更、终止与清算</w:t>
            </w:r>
            <w:r>
              <w:rPr>
                <w:rFonts w:hint="eastAsia" w:ascii="方正仿宋_GB2312" w:hAnsi="方正仿宋_GB2312" w:eastAsia="方正仿宋_GB2312" w:cs="方正仿宋_GB2312"/>
                <w:bCs/>
                <w:sz w:val="21"/>
                <w:szCs w:val="21"/>
                <w:lang w:eastAsia="zh-CN"/>
              </w:rPr>
              <w:t>；</w:t>
            </w:r>
          </w:p>
          <w:p w14:paraId="5775045F">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kern w:val="2"/>
                <w:sz w:val="21"/>
                <w:szCs w:val="21"/>
                <w:lang w:val="en-US" w:eastAsia="zh-CN" w:bidi="ar-SA"/>
              </w:rPr>
            </w:pPr>
            <w:r>
              <w:rPr>
                <w:rFonts w:hint="default" w:ascii="方正仿宋_GB2312" w:hAnsi="方正仿宋_GB2312" w:eastAsia="方正仿宋_GB2312" w:cs="方正仿宋_GB2312"/>
                <w:bCs/>
                <w:kern w:val="2"/>
                <w:sz w:val="21"/>
                <w:szCs w:val="21"/>
                <w:lang w:val="en-US" w:eastAsia="zh-CN" w:bidi="ar-SA"/>
              </w:rPr>
              <w:t>3.</w:t>
            </w:r>
            <w:r>
              <w:rPr>
                <w:rFonts w:hint="eastAsia" w:ascii="方正仿宋_GB2312" w:hAnsi="方正仿宋_GB2312" w:eastAsia="方正仿宋_GB2312" w:cs="方正仿宋_GB2312"/>
                <w:bCs/>
                <w:kern w:val="2"/>
                <w:sz w:val="21"/>
                <w:szCs w:val="21"/>
                <w:lang w:val="en-US" w:eastAsia="zh-CN" w:bidi="ar-SA"/>
              </w:rPr>
              <w:t>初步学会</w:t>
            </w:r>
            <w:r>
              <w:rPr>
                <w:rFonts w:hint="default" w:ascii="方正仿宋_GB2312" w:hAnsi="方正仿宋_GB2312" w:eastAsia="方正仿宋_GB2312" w:cs="方正仿宋_GB2312"/>
                <w:bCs/>
                <w:kern w:val="2"/>
                <w:sz w:val="21"/>
                <w:szCs w:val="21"/>
                <w:lang w:val="en-US" w:eastAsia="zh-CN" w:bidi="ar-SA"/>
              </w:rPr>
              <w:t>教育行政部门对幼儿园的外部管理与监督,以及幼儿园的内部管理与监督。</w:t>
            </w:r>
          </w:p>
          <w:p w14:paraId="11EA756F">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 w:val="0"/>
                <w:bCs/>
                <w:color w:val="auto"/>
                <w:sz w:val="21"/>
                <w:szCs w:val="21"/>
              </w:rPr>
              <w:t>1.</w:t>
            </w:r>
            <w:r>
              <w:rPr>
                <w:rFonts w:hint="eastAsia" w:ascii="方正仿宋_GB2312" w:hAnsi="方正仿宋_GB2312" w:eastAsia="方正仿宋_GB2312" w:cs="方正仿宋_GB2312"/>
                <w:b w:val="0"/>
                <w:bCs/>
                <w:color w:val="auto"/>
                <w:sz w:val="21"/>
                <w:szCs w:val="21"/>
                <w:lang w:val="en-US" w:eastAsia="zh-CN"/>
              </w:rPr>
              <w:t>遵守职业道德，合法取得举办幼儿园的主体资格；</w:t>
            </w:r>
          </w:p>
          <w:p w14:paraId="2A4C3274">
            <w:pPr>
              <w:widowControl w:val="0"/>
              <w:numPr>
                <w:ilvl w:val="0"/>
                <w:numId w:val="0"/>
              </w:numPr>
              <w:snapToGrid w:val="0"/>
              <w:spacing w:line="288" w:lineRule="auto"/>
              <w:ind w:left="0" w:leftChars="0" w:right="26" w:rightChars="0" w:firstLine="1050" w:firstLineChars="500"/>
              <w:jc w:val="left"/>
              <w:rPr>
                <w:rFonts w:hint="eastAsia" w:ascii="方正仿宋_GB2312" w:hAnsi="方正仿宋_GB2312" w:eastAsia="方正仿宋_GB2312" w:cs="方正仿宋_GB2312"/>
                <w:bCs/>
                <w:kern w:val="2"/>
                <w:sz w:val="21"/>
                <w:szCs w:val="21"/>
                <w:lang w:val="en-US" w:eastAsia="zh-CN" w:bidi="ar-SA"/>
              </w:rPr>
            </w:pPr>
            <w:r>
              <w:rPr>
                <w:rFonts w:hint="eastAsia" w:ascii="方正仿宋_GB2312" w:hAnsi="方正仿宋_GB2312" w:eastAsia="方正仿宋_GB2312" w:cs="方正仿宋_GB2312"/>
                <w:bCs/>
                <w:kern w:val="2"/>
                <w:sz w:val="21"/>
                <w:szCs w:val="21"/>
                <w:lang w:val="en-US" w:eastAsia="zh-CN" w:bidi="ar-SA"/>
              </w:rPr>
              <w:t>2.树立对公办和民办一视同仁的看法。</w:t>
            </w:r>
          </w:p>
          <w:p w14:paraId="06A0D9A1">
            <w:pPr>
              <w:widowControl w:val="0"/>
              <w:snapToGrid w:val="0"/>
              <w:spacing w:line="288" w:lineRule="auto"/>
              <w:ind w:right="26"/>
              <w:jc w:val="both"/>
              <w:rPr>
                <w:rFonts w:ascii="仿宋_GB2312" w:eastAsia="仿宋_GB2312"/>
                <w:bCs/>
                <w:sz w:val="22"/>
              </w:rPr>
            </w:pPr>
            <w:r>
              <w:rPr>
                <w:rFonts w:hint="eastAsia" w:ascii="仿宋_GB2312" w:eastAsia="仿宋_GB2312"/>
                <w:bCs/>
                <w:sz w:val="22"/>
              </w:rPr>
              <w:t>重点：</w:t>
            </w:r>
            <w:r>
              <w:rPr>
                <w:rFonts w:hint="default" w:ascii="方正仿宋_GB2312" w:hAnsi="方正仿宋_GB2312" w:eastAsia="方正仿宋_GB2312" w:cs="方正仿宋_GB2312"/>
                <w:bCs/>
                <w:kern w:val="2"/>
                <w:sz w:val="21"/>
                <w:szCs w:val="21"/>
                <w:lang w:val="en-US" w:eastAsia="zh-CN" w:bidi="ar-SA"/>
              </w:rPr>
              <w:t>教师聘任制的概念要素与内容,能运用相关法条分析相关案例</w:t>
            </w:r>
          </w:p>
          <w:p w14:paraId="6D9FF5C9">
            <w:pPr>
              <w:widowControl w:val="0"/>
              <w:numPr>
                <w:ilvl w:val="0"/>
                <w:numId w:val="0"/>
              </w:numPr>
              <w:snapToGrid w:val="0"/>
              <w:spacing w:line="288" w:lineRule="auto"/>
              <w:ind w:leftChars="0" w:right="26" w:rightChars="0"/>
              <w:jc w:val="left"/>
              <w:rPr>
                <w:rFonts w:hint="eastAsia" w:ascii="方正仿宋_GB2312" w:hAnsi="方正仿宋_GB2312" w:eastAsia="方正仿宋_GB2312" w:cs="方正仿宋_GB2312"/>
                <w:bCs/>
                <w:kern w:val="2"/>
                <w:sz w:val="21"/>
                <w:szCs w:val="21"/>
                <w:lang w:val="en-US" w:eastAsia="zh-CN" w:bidi="ar-SA"/>
              </w:rPr>
            </w:pPr>
            <w:r>
              <w:rPr>
                <w:rFonts w:hint="eastAsia" w:ascii="仿宋_GB2312" w:eastAsia="仿宋_GB2312"/>
                <w:bCs/>
                <w:sz w:val="22"/>
              </w:rPr>
              <w:t>难点：</w:t>
            </w:r>
            <w:r>
              <w:rPr>
                <w:rFonts w:hint="eastAsia" w:ascii="方正仿宋_GB2312" w:hAnsi="方正仿宋_GB2312" w:eastAsia="方正仿宋_GB2312" w:cs="方正仿宋_GB2312"/>
                <w:bCs/>
                <w:kern w:val="2"/>
                <w:sz w:val="21"/>
                <w:szCs w:val="21"/>
                <w:lang w:val="en-US" w:eastAsia="zh-CN" w:bidi="ar-SA"/>
              </w:rPr>
              <w:t>举办幼儿园的四大实体要件</w:t>
            </w:r>
            <w:r>
              <w:rPr>
                <w:rFonts w:hint="eastAsia" w:ascii="方正仿宋_GB2312" w:hAnsi="方正仿宋_GB2312" w:eastAsia="方正仿宋_GB2312" w:cs="方正仿宋_GB2312"/>
                <w:bCs/>
                <w:sz w:val="21"/>
                <w:szCs w:val="21"/>
                <w:lang w:val="en-US" w:eastAsia="zh-CN"/>
              </w:rPr>
              <w:t>的掌握</w:t>
            </w:r>
          </w:p>
        </w:tc>
      </w:tr>
      <w:tr w14:paraId="05FD9802">
        <w:tc>
          <w:tcPr>
            <w:tcW w:w="8296" w:type="dxa"/>
          </w:tcPr>
          <w:p w14:paraId="54F3874B">
            <w:pPr>
              <w:widowControl w:val="0"/>
              <w:numPr>
                <w:ilvl w:val="0"/>
                <w:numId w:val="0"/>
              </w:numPr>
              <w:ind w:right="-50" w:rightChars="0"/>
              <w:jc w:val="both"/>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第八单元  幼儿园的保育与教育</w:t>
            </w:r>
          </w:p>
          <w:p w14:paraId="05586674">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.了解学前教育机构保教结合的必要性及措施；</w:t>
            </w:r>
          </w:p>
          <w:p w14:paraId="533B4708">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熟悉学前教育机构保育工作的意义及基本要求；</w:t>
            </w:r>
          </w:p>
          <w:p w14:paraId="7862B33F">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default" w:ascii="方正仿宋_GB2312" w:hAnsi="方正仿宋_GB2312" w:eastAsia="方正仿宋_GB2312" w:cs="方正仿宋_GB2312"/>
                <w:bCs/>
                <w:kern w:val="2"/>
                <w:sz w:val="21"/>
                <w:szCs w:val="21"/>
                <w:lang w:val="en-US" w:eastAsia="zh-CN" w:bidi="ar-SA"/>
              </w:rPr>
              <w:t>3.</w:t>
            </w:r>
            <w:r>
              <w:rPr>
                <w:rFonts w:hint="default" w:ascii="方正仿宋_GB2312" w:hAnsi="方正仿宋_GB2312" w:eastAsia="方正仿宋_GB2312" w:cs="方正仿宋_GB2312"/>
                <w:bCs/>
                <w:sz w:val="21"/>
                <w:szCs w:val="21"/>
                <w:lang w:val="en-US" w:eastAsia="zh-CN"/>
              </w:rPr>
              <w:t>熟悉学前教育机构教育工作的特点、原则和基本要求。</w:t>
            </w:r>
          </w:p>
          <w:p w14:paraId="41160279">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能够</w:t>
            </w:r>
            <w:r>
              <w:rPr>
                <w:rFonts w:hint="eastAsia" w:ascii="方正仿宋_GB2312" w:hAnsi="方正仿宋_GB2312" w:eastAsia="方正仿宋_GB2312" w:cs="方正仿宋_GB2312"/>
                <w:bCs/>
                <w:sz w:val="21"/>
                <w:szCs w:val="21"/>
              </w:rPr>
              <w:t>熟悉《幼儿园工作规程》的基本内容</w:t>
            </w:r>
            <w:r>
              <w:rPr>
                <w:rFonts w:hint="eastAsia" w:ascii="方正仿宋_GB2312" w:hAnsi="方正仿宋_GB2312" w:eastAsia="方正仿宋_GB2312" w:cs="方正仿宋_GB2312"/>
                <w:bCs/>
                <w:sz w:val="21"/>
                <w:szCs w:val="21"/>
                <w:lang w:val="en-US" w:eastAsia="zh-CN"/>
              </w:rPr>
              <w:t>；</w:t>
            </w:r>
          </w:p>
          <w:p w14:paraId="1001230B">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能够践行《幼儿园教育指导纲要 (试行)》的基本要求；</w:t>
            </w:r>
          </w:p>
          <w:p w14:paraId="1807405C">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lang w:val="en-US" w:eastAsia="zh-CN"/>
              </w:rPr>
              <w:t>3.能够遵循《3-6岁儿童学习与发展指南》的基本内容。</w:t>
            </w:r>
          </w:p>
          <w:p w14:paraId="6DB3BDDC">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思政目标：1.引导</w:t>
            </w:r>
            <w:r>
              <w:rPr>
                <w:rFonts w:hint="eastAsia" w:ascii="方正仿宋_GB2312" w:hAnsi="方正仿宋_GB2312" w:eastAsia="方正仿宋_GB2312" w:cs="方正仿宋_GB2312"/>
                <w:bCs/>
                <w:sz w:val="21"/>
                <w:szCs w:val="21"/>
                <w:lang w:val="en-US" w:eastAsia="zh-CN"/>
              </w:rPr>
              <w:t>学生注意品德教育应当以情感教育和培养良好行为习惯为主，注意潜移默化的影响。</w:t>
            </w:r>
          </w:p>
          <w:p w14:paraId="23E97248">
            <w:pPr>
              <w:widowControl w:val="0"/>
              <w:numPr>
                <w:ilvl w:val="0"/>
                <w:numId w:val="1"/>
              </w:numPr>
              <w:snapToGrid w:val="0"/>
              <w:spacing w:line="288" w:lineRule="auto"/>
              <w:ind w:leftChars="0" w:right="26" w:rightChars="0" w:firstLine="1050" w:firstLineChars="500"/>
              <w:jc w:val="left"/>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引导</w:t>
            </w:r>
            <w:r>
              <w:rPr>
                <w:rFonts w:hint="eastAsia" w:ascii="方正仿宋_GB2312" w:hAnsi="方正仿宋_GB2312" w:eastAsia="方正仿宋_GB2312" w:cs="方正仿宋_GB2312"/>
                <w:bCs/>
                <w:sz w:val="21"/>
                <w:szCs w:val="21"/>
                <w:lang w:val="en-US" w:eastAsia="zh-CN"/>
              </w:rPr>
              <w:t>学生诚信教育，诚信品质的重要性。</w:t>
            </w:r>
          </w:p>
          <w:p w14:paraId="6C9747F9">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lang w:val="en-US" w:eastAsia="zh-CN"/>
              </w:rPr>
              <w:t>重点：《幼儿园工作规程》的基本内容</w:t>
            </w:r>
          </w:p>
          <w:p w14:paraId="4E99A796">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lang w:val="en-US" w:eastAsia="zh-CN"/>
              </w:rPr>
              <w:t>难点：《3-6岁儿童学习与发展指南》的基本内容</w:t>
            </w:r>
          </w:p>
        </w:tc>
      </w:tr>
      <w:tr w14:paraId="04DE3E3D">
        <w:tc>
          <w:tcPr>
            <w:tcW w:w="8296" w:type="dxa"/>
          </w:tcPr>
          <w:p w14:paraId="2669FD9A">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第九单元  幼儿教师的权利与义务</w:t>
            </w:r>
          </w:p>
          <w:p w14:paraId="647C0735">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.了解幼儿教师的社会角色和法律地位；</w:t>
            </w:r>
          </w:p>
          <w:p w14:paraId="44CBF2F5">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熟悉幼儿教师的权利、义务和道德规范。</w:t>
            </w:r>
          </w:p>
          <w:p w14:paraId="1CA8EE7A">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初步学会劳动争议和人事争议解决方式。</w:t>
            </w:r>
          </w:p>
          <w:p w14:paraId="2EBEBC71">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Cs/>
                <w:sz w:val="21"/>
                <w:szCs w:val="21"/>
                <w:lang w:val="en-US" w:eastAsia="zh-CN"/>
              </w:rPr>
              <w:t>1.引导学生依法取得教师资格证；</w:t>
            </w:r>
          </w:p>
          <w:p w14:paraId="15861F52">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firstLine="1050" w:firstLineChars="500"/>
              <w:jc w:val="left"/>
              <w:textAlignment w:val="auto"/>
              <w:rPr>
                <w:rFonts w:hint="eastAsia" w:ascii="宋体" w:hAnsi="宋体" w:eastAsia="宋体" w:cs="宋体"/>
                <w:b w:val="0"/>
                <w:bCs/>
                <w:kern w:val="2"/>
                <w:sz w:val="21"/>
                <w:szCs w:val="21"/>
                <w:lang w:val="en-US" w:eastAsia="zh-CN" w:bidi="ar-SA"/>
              </w:rPr>
            </w:pPr>
            <w:r>
              <w:rPr>
                <w:rFonts w:hint="eastAsia" w:ascii="方正仿宋_GB2312" w:hAnsi="方正仿宋_GB2312" w:eastAsia="方正仿宋_GB2312" w:cs="方正仿宋_GB2312"/>
                <w:bCs/>
                <w:sz w:val="21"/>
                <w:szCs w:val="21"/>
                <w:lang w:val="en-US" w:eastAsia="zh-CN"/>
              </w:rPr>
              <w:t>2.引导学生严格遵守《〈教师资格条例〉实施办法》规定。</w:t>
            </w:r>
          </w:p>
          <w:p w14:paraId="7C9728DC">
            <w:pPr>
              <w:widowControl w:val="0"/>
              <w:adjustRightInd w:val="0"/>
              <w:snapToGrid w:val="0"/>
              <w:ind w:left="-50" w:right="-50"/>
              <w:jc w:val="both"/>
              <w:rPr>
                <w:rFonts w:hint="eastAsia" w:ascii="仿宋_GB2312" w:hAnsi="宋体" w:eastAsia="仿宋_GB2312"/>
                <w:bCs/>
                <w:sz w:val="22"/>
              </w:rPr>
            </w:pPr>
            <w:r>
              <w:rPr>
                <w:rFonts w:hint="eastAsia" w:ascii="仿宋_GB2312" w:eastAsia="仿宋_GB2312"/>
                <w:bCs/>
                <w:sz w:val="22"/>
              </w:rPr>
              <w:t>重点：</w:t>
            </w:r>
            <w:r>
              <w:rPr>
                <w:rFonts w:hint="eastAsia" w:ascii="方正仿宋_GB2312" w:hAnsi="方正仿宋_GB2312" w:eastAsia="方正仿宋_GB2312" w:cs="方正仿宋_GB2312"/>
                <w:bCs/>
                <w:sz w:val="21"/>
                <w:szCs w:val="21"/>
                <w:lang w:val="en-US" w:eastAsia="zh-CN"/>
              </w:rPr>
              <w:t>熟悉幼儿教师的权利、义务和道德规范。</w:t>
            </w:r>
          </w:p>
          <w:p w14:paraId="59ECB1D4">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宋体" w:hAnsi="宋体" w:eastAsia="宋体" w:cs="宋体"/>
                <w:b w:val="0"/>
                <w:bCs/>
                <w:kern w:val="2"/>
                <w:sz w:val="21"/>
                <w:szCs w:val="21"/>
                <w:lang w:val="en-US" w:eastAsia="zh-CN" w:bidi="ar-SA"/>
              </w:rPr>
            </w:pPr>
            <w:r>
              <w:rPr>
                <w:rFonts w:hint="eastAsia" w:ascii="仿宋_GB2312" w:hAnsi="宋体" w:eastAsia="仿宋_GB2312"/>
                <w:bCs/>
                <w:sz w:val="22"/>
              </w:rPr>
              <w:t>难点：</w:t>
            </w:r>
            <w:r>
              <w:rPr>
                <w:rFonts w:hint="eastAsia" w:ascii="方正仿宋_GB2312" w:hAnsi="方正仿宋_GB2312" w:eastAsia="方正仿宋_GB2312" w:cs="方正仿宋_GB2312"/>
                <w:bCs/>
                <w:sz w:val="21"/>
                <w:szCs w:val="21"/>
                <w:lang w:val="en-US" w:eastAsia="zh-CN"/>
              </w:rPr>
              <w:t>熟悉幼儿教师的权利、义务和道德规范。</w:t>
            </w:r>
          </w:p>
        </w:tc>
      </w:tr>
      <w:tr w14:paraId="76B9E7DA">
        <w:tc>
          <w:tcPr>
            <w:tcW w:w="8296" w:type="dxa"/>
          </w:tcPr>
          <w:p w14:paraId="776D4769">
            <w:pPr>
              <w:widowControl w:val="0"/>
              <w:numPr>
                <w:ilvl w:val="0"/>
                <w:numId w:val="0"/>
              </w:numPr>
              <w:ind w:right="-50" w:rightChars="0"/>
              <w:jc w:val="both"/>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第十单元  幼儿园工作人员的资质和职责</w:t>
            </w:r>
          </w:p>
          <w:p w14:paraId="3FBCD4ED">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.了解园长的任职资格；</w:t>
            </w:r>
          </w:p>
          <w:p w14:paraId="46BF72CA">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2.掌握园长的主要职责；</w:t>
            </w:r>
          </w:p>
          <w:p w14:paraId="342CF3B3">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3.</w:t>
            </w:r>
            <w:r>
              <w:rPr>
                <w:rFonts w:hint="eastAsia" w:ascii="方正仿宋_GB2312" w:hAnsi="方正仿宋_GB2312" w:eastAsia="方正仿宋_GB2312" w:cs="方正仿宋_GB2312"/>
                <w:bCs/>
                <w:sz w:val="21"/>
                <w:szCs w:val="21"/>
                <w:lang w:val="en-US" w:eastAsia="zh-CN"/>
              </w:rPr>
              <w:t>掌握保育员的两大任职条件；</w:t>
            </w:r>
          </w:p>
          <w:p w14:paraId="3E5FB709">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4.</w:t>
            </w:r>
            <w:r>
              <w:rPr>
                <w:rFonts w:hint="eastAsia" w:ascii="方正仿宋_GB2312" w:hAnsi="方正仿宋_GB2312" w:eastAsia="方正仿宋_GB2312" w:cs="方正仿宋_GB2312"/>
                <w:bCs/>
                <w:sz w:val="21"/>
                <w:szCs w:val="21"/>
                <w:lang w:val="en-US" w:eastAsia="zh-CN"/>
              </w:rPr>
              <w:t>理解造成保育员现状的内外原因及改善途径；</w:t>
            </w:r>
          </w:p>
          <w:p w14:paraId="7FF318F7">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5.</w:t>
            </w:r>
            <w:r>
              <w:rPr>
                <w:rFonts w:hint="eastAsia" w:ascii="方正仿宋_GB2312" w:hAnsi="方正仿宋_GB2312" w:eastAsia="方正仿宋_GB2312" w:cs="方正仿宋_GB2312"/>
                <w:bCs/>
                <w:sz w:val="21"/>
                <w:szCs w:val="21"/>
                <w:lang w:val="en-US" w:eastAsia="zh-CN"/>
              </w:rPr>
              <w:t>了解其他工作人员的任职条件与主要职责。</w:t>
            </w:r>
          </w:p>
          <w:p w14:paraId="4C694DA6">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学会解释</w:t>
            </w:r>
            <w:r>
              <w:rPr>
                <w:rFonts w:hint="eastAsia" w:ascii="方正仿宋_GB2312" w:hAnsi="方正仿宋_GB2312" w:eastAsia="方正仿宋_GB2312" w:cs="方正仿宋_GB2312"/>
                <w:bCs/>
                <w:sz w:val="21"/>
                <w:szCs w:val="21"/>
              </w:rPr>
              <w:t>幼儿园园长的各种角色</w:t>
            </w:r>
            <w:r>
              <w:rPr>
                <w:rFonts w:hint="eastAsia" w:ascii="方正仿宋_GB2312" w:hAnsi="方正仿宋_GB2312" w:eastAsia="方正仿宋_GB2312" w:cs="方正仿宋_GB2312"/>
                <w:bCs/>
                <w:sz w:val="21"/>
                <w:szCs w:val="21"/>
                <w:lang w:eastAsia="zh-CN"/>
              </w:rPr>
              <w:t>；</w:t>
            </w:r>
          </w:p>
          <w:p w14:paraId="139E369E">
            <w:pPr>
              <w:keepNext w:val="0"/>
              <w:keepLines w:val="0"/>
              <w:pageBreakBefore w:val="0"/>
              <w:widowControl w:val="0"/>
              <w:kinsoku/>
              <w:wordWrap/>
              <w:overflowPunct/>
              <w:topLinePunct w:val="0"/>
              <w:autoSpaceDE/>
              <w:autoSpaceDN/>
              <w:bidi w:val="0"/>
              <w:adjustRightInd w:val="0"/>
              <w:snapToGrid w:val="0"/>
              <w:ind w:left="-50" w:right="-51"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lang w:val="en-US" w:eastAsia="zh-CN"/>
              </w:rPr>
              <w:t>2.理解教职工民主参与管理的重要性。</w:t>
            </w:r>
          </w:p>
          <w:p w14:paraId="47495723">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Cs/>
                <w:sz w:val="21"/>
                <w:szCs w:val="21"/>
                <w:lang w:val="en-US" w:eastAsia="zh-CN"/>
              </w:rPr>
              <w:t>1.懂得践行保育员的职业道德。</w:t>
            </w:r>
          </w:p>
          <w:p w14:paraId="0D4AED6C">
            <w:pPr>
              <w:widowControl w:val="0"/>
              <w:adjustRightInd w:val="0"/>
              <w:snapToGrid w:val="0"/>
              <w:ind w:left="-50" w:right="-50"/>
              <w:jc w:val="both"/>
              <w:rPr>
                <w:rFonts w:hint="default" w:ascii="仿宋_GB2312" w:hAnsi="宋体" w:eastAsia="仿宋_GB2312"/>
                <w:bCs/>
                <w:sz w:val="22"/>
                <w:lang w:val="en-US"/>
              </w:rPr>
            </w:pPr>
            <w:r>
              <w:rPr>
                <w:rFonts w:hint="eastAsia" w:ascii="仿宋_GB2312" w:eastAsia="仿宋_GB2312"/>
                <w:bCs/>
                <w:sz w:val="22"/>
              </w:rPr>
              <w:t>重点：</w:t>
            </w:r>
            <w:r>
              <w:rPr>
                <w:rFonts w:hint="eastAsia" w:ascii="方正仿宋_GB2312" w:hAnsi="方正仿宋_GB2312" w:eastAsia="方正仿宋_GB2312" w:cs="方正仿宋_GB2312"/>
                <w:bCs/>
                <w:kern w:val="2"/>
                <w:sz w:val="21"/>
                <w:szCs w:val="21"/>
                <w:lang w:val="en-US" w:eastAsia="zh-CN" w:bidi="ar-SA"/>
              </w:rPr>
              <w:t>园长主要职责的掌握</w:t>
            </w:r>
          </w:p>
          <w:p w14:paraId="658761A9">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方正仿宋_GB2312" w:hAnsi="方正仿宋_GB2312" w:eastAsia="方正仿宋_GB2312" w:cs="方正仿宋_GB2312"/>
                <w:bCs/>
                <w:sz w:val="21"/>
                <w:szCs w:val="21"/>
                <w:lang w:val="en-US" w:eastAsia="zh-CN"/>
              </w:rPr>
            </w:pPr>
            <w:r>
              <w:rPr>
                <w:rFonts w:hint="eastAsia" w:ascii="仿宋_GB2312" w:hAnsi="宋体" w:eastAsia="仿宋_GB2312"/>
                <w:bCs/>
                <w:sz w:val="22"/>
              </w:rPr>
              <w:t>难点：</w:t>
            </w:r>
            <w:r>
              <w:rPr>
                <w:rFonts w:hint="eastAsia" w:ascii="方正仿宋_GB2312" w:hAnsi="方正仿宋_GB2312" w:eastAsia="方正仿宋_GB2312" w:cs="方正仿宋_GB2312"/>
                <w:bCs/>
                <w:kern w:val="2"/>
                <w:sz w:val="21"/>
                <w:szCs w:val="21"/>
                <w:lang w:val="en-US" w:eastAsia="zh-CN" w:bidi="ar-SA"/>
              </w:rPr>
              <w:t>园长主要职责的掌握</w:t>
            </w:r>
          </w:p>
        </w:tc>
      </w:tr>
      <w:bookmarkEnd w:id="0"/>
      <w:bookmarkEnd w:id="1"/>
    </w:tbl>
    <w:p w14:paraId="246A3E60">
      <w:pPr>
        <w:pStyle w:val="17"/>
        <w:spacing w:before="81" w:after="163"/>
      </w:pPr>
      <w:r>
        <w:rPr>
          <w:rFonts w:hint="eastAsia"/>
        </w:rPr>
        <w:t>（二）教学单元对课程目标的支撑关系</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3874"/>
        <w:gridCol w:w="1373"/>
        <w:gridCol w:w="1140"/>
        <w:gridCol w:w="1050"/>
        <w:gridCol w:w="1039"/>
      </w:tblGrid>
      <w:tr w14:paraId="765F05C2">
        <w:trPr>
          <w:trHeight w:val="794" w:hRule="atLeast"/>
          <w:jc w:val="center"/>
        </w:trPr>
        <w:tc>
          <w:tcPr>
            <w:tcW w:w="3874" w:type="dxa"/>
            <w:tcBorders>
              <w:top w:val="single" w:color="auto" w:sz="12" w:space="0"/>
              <w:left w:val="single" w:color="auto" w:sz="12" w:space="0"/>
              <w:tl2br w:val="single" w:color="auto" w:sz="4" w:space="0"/>
            </w:tcBorders>
          </w:tcPr>
          <w:p w14:paraId="6D703749">
            <w:pPr>
              <w:pStyle w:val="13"/>
              <w:ind w:firstLine="489"/>
              <w:jc w:val="right"/>
              <w:rPr>
                <w:szCs w:val="16"/>
              </w:rPr>
            </w:pPr>
            <w:r>
              <w:rPr>
                <w:rFonts w:hint="eastAsia"/>
                <w:szCs w:val="16"/>
              </w:rPr>
              <w:t>课程目标</w:t>
            </w:r>
          </w:p>
          <w:p w14:paraId="4E39DA6E">
            <w:pPr>
              <w:pStyle w:val="13"/>
              <w:ind w:right="210"/>
              <w:jc w:val="left"/>
              <w:rPr>
                <w:rFonts w:hint="eastAsia"/>
                <w:szCs w:val="16"/>
              </w:rPr>
            </w:pPr>
          </w:p>
          <w:p w14:paraId="31074176">
            <w:pPr>
              <w:pStyle w:val="13"/>
              <w:ind w:right="210"/>
              <w:jc w:val="left"/>
              <w:rPr>
                <w:szCs w:val="16"/>
              </w:rPr>
            </w:pPr>
            <w:r>
              <w:rPr>
                <w:rFonts w:hint="eastAsia"/>
                <w:szCs w:val="16"/>
              </w:rPr>
              <w:t>教学单元</w:t>
            </w:r>
          </w:p>
        </w:tc>
        <w:tc>
          <w:tcPr>
            <w:tcW w:w="1373" w:type="dxa"/>
            <w:tcBorders>
              <w:top w:val="single" w:color="auto" w:sz="12" w:space="0"/>
            </w:tcBorders>
            <w:vAlign w:val="center"/>
          </w:tcPr>
          <w:p w14:paraId="635C0662">
            <w:pPr>
              <w:pStyle w:val="13"/>
              <w:rPr>
                <w:rFonts w:hint="eastAsia" w:eastAsia="黑体"/>
                <w:szCs w:val="16"/>
                <w:lang w:val="en-US" w:eastAsia="zh-CN"/>
              </w:rPr>
            </w:pPr>
            <w:r>
              <w:rPr>
                <w:rFonts w:hint="eastAsia"/>
                <w:szCs w:val="16"/>
                <w:lang w:val="en-US" w:eastAsia="zh-CN"/>
              </w:rPr>
              <w:t>1</w:t>
            </w:r>
          </w:p>
        </w:tc>
        <w:tc>
          <w:tcPr>
            <w:tcW w:w="1140" w:type="dxa"/>
            <w:tcBorders>
              <w:top w:val="single" w:color="auto" w:sz="12" w:space="0"/>
            </w:tcBorders>
            <w:vAlign w:val="center"/>
          </w:tcPr>
          <w:p w14:paraId="4212992E">
            <w:pPr>
              <w:pStyle w:val="13"/>
              <w:rPr>
                <w:rFonts w:hint="eastAsia" w:eastAsia="黑体"/>
                <w:szCs w:val="16"/>
                <w:lang w:val="en-US" w:eastAsia="zh-CN"/>
              </w:rPr>
            </w:pPr>
            <w:r>
              <w:rPr>
                <w:rFonts w:hint="eastAsia"/>
                <w:szCs w:val="16"/>
                <w:lang w:val="en-US" w:eastAsia="zh-CN"/>
              </w:rPr>
              <w:t>2</w:t>
            </w:r>
          </w:p>
        </w:tc>
        <w:tc>
          <w:tcPr>
            <w:tcW w:w="1050" w:type="dxa"/>
            <w:tcBorders>
              <w:top w:val="single" w:color="auto" w:sz="12" w:space="0"/>
            </w:tcBorders>
            <w:vAlign w:val="center"/>
          </w:tcPr>
          <w:p w14:paraId="1E2863DC">
            <w:pPr>
              <w:pStyle w:val="13"/>
              <w:rPr>
                <w:rFonts w:hint="eastAsia" w:eastAsia="黑体"/>
                <w:szCs w:val="16"/>
                <w:lang w:val="en-US" w:eastAsia="zh-CN"/>
              </w:rPr>
            </w:pPr>
            <w:r>
              <w:rPr>
                <w:rFonts w:hint="eastAsia"/>
                <w:szCs w:val="16"/>
                <w:lang w:val="en-US" w:eastAsia="zh-CN"/>
              </w:rPr>
              <w:t>3</w:t>
            </w:r>
          </w:p>
        </w:tc>
        <w:tc>
          <w:tcPr>
            <w:tcW w:w="1039" w:type="dxa"/>
            <w:tcBorders>
              <w:top w:val="single" w:color="auto" w:sz="12" w:space="0"/>
              <w:right w:val="single" w:color="auto" w:sz="12" w:space="0"/>
            </w:tcBorders>
            <w:vAlign w:val="center"/>
          </w:tcPr>
          <w:p w14:paraId="06784730">
            <w:pPr>
              <w:pStyle w:val="13"/>
              <w:rPr>
                <w:szCs w:val="16"/>
              </w:rPr>
            </w:pPr>
            <w:r>
              <w:rPr>
                <w:rFonts w:hint="eastAsia"/>
                <w:szCs w:val="16"/>
                <w:lang w:val="en-US" w:eastAsia="zh-CN"/>
              </w:rPr>
              <w:t>4</w:t>
            </w:r>
          </w:p>
        </w:tc>
      </w:tr>
      <w:tr w14:paraId="135EEB55">
        <w:trPr>
          <w:trHeight w:val="210" w:hRule="atLeast"/>
          <w:jc w:val="center"/>
        </w:trPr>
        <w:tc>
          <w:tcPr>
            <w:tcW w:w="3874" w:type="dxa"/>
            <w:tcBorders>
              <w:left w:val="single" w:color="auto" w:sz="12" w:space="0"/>
            </w:tcBorders>
          </w:tcPr>
          <w:p w14:paraId="0985B54F">
            <w:pPr>
              <w:snapToGrid w:val="0"/>
              <w:spacing w:line="288" w:lineRule="auto"/>
              <w:ind w:right="26"/>
              <w:jc w:val="center"/>
            </w:pPr>
            <w:r>
              <w:rPr>
                <w:rFonts w:hint="eastAsia" w:asciiTheme="minorEastAsia" w:hAnsiTheme="minorEastAsia" w:eastAsiaTheme="minorEastAsia" w:cstheme="minorEastAsia"/>
                <w:sz w:val="20"/>
                <w:szCs w:val="20"/>
                <w:highlight w:val="none"/>
                <w:lang w:val="en-US" w:eastAsia="zh-CN"/>
              </w:rPr>
              <w:t xml:space="preserve">第一单元 </w:t>
            </w:r>
            <w:r>
              <w:rPr>
                <w:rFonts w:hint="eastAsia" w:asciiTheme="minorEastAsia" w:hAnsiTheme="minorEastAsia" w:eastAsiaTheme="minorEastAsia" w:cstheme="minorEastAsia"/>
                <w:sz w:val="20"/>
                <w:szCs w:val="20"/>
                <w:lang w:val="en-US" w:eastAsia="zh-CN"/>
              </w:rPr>
              <w:t>导论</w:t>
            </w:r>
          </w:p>
        </w:tc>
        <w:tc>
          <w:tcPr>
            <w:tcW w:w="1373" w:type="dxa"/>
            <w:vAlign w:val="center"/>
          </w:tcPr>
          <w:p w14:paraId="3EF0D8FB">
            <w:pPr>
              <w:pStyle w:val="14"/>
              <w:rPr>
                <w:rFonts w:hint="eastAsia" w:eastAsia="宋体"/>
                <w:lang w:val="en-US" w:eastAsia="zh-CN"/>
              </w:rPr>
            </w:pPr>
            <w:r>
              <w:rPr>
                <w:rFonts w:hint="eastAsia"/>
                <w:lang w:val="en-US" w:eastAsia="zh-CN"/>
              </w:rPr>
              <w:t>✔</w:t>
            </w:r>
          </w:p>
        </w:tc>
        <w:tc>
          <w:tcPr>
            <w:tcW w:w="1140" w:type="dxa"/>
            <w:vAlign w:val="center"/>
          </w:tcPr>
          <w:p w14:paraId="72C0012D">
            <w:pPr>
              <w:pStyle w:val="14"/>
            </w:pPr>
          </w:p>
        </w:tc>
        <w:tc>
          <w:tcPr>
            <w:tcW w:w="1050" w:type="dxa"/>
            <w:vAlign w:val="center"/>
          </w:tcPr>
          <w:p w14:paraId="636DCCB5">
            <w:pPr>
              <w:pStyle w:val="14"/>
            </w:pPr>
          </w:p>
        </w:tc>
        <w:tc>
          <w:tcPr>
            <w:tcW w:w="1039" w:type="dxa"/>
            <w:tcBorders>
              <w:right w:val="single" w:color="auto" w:sz="12" w:space="0"/>
            </w:tcBorders>
            <w:vAlign w:val="center"/>
          </w:tcPr>
          <w:p w14:paraId="7F0EBE52">
            <w:pPr>
              <w:pStyle w:val="14"/>
            </w:pPr>
          </w:p>
        </w:tc>
      </w:tr>
      <w:tr w14:paraId="792A60F1">
        <w:trPr>
          <w:trHeight w:val="340" w:hRule="atLeast"/>
          <w:jc w:val="center"/>
        </w:trPr>
        <w:tc>
          <w:tcPr>
            <w:tcW w:w="3874" w:type="dxa"/>
            <w:tcBorders>
              <w:left w:val="single" w:color="auto" w:sz="12" w:space="0"/>
            </w:tcBorders>
          </w:tcPr>
          <w:p w14:paraId="353C660B">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第二单元  幼儿和学前教育政策法规</w:t>
            </w:r>
          </w:p>
        </w:tc>
        <w:tc>
          <w:tcPr>
            <w:tcW w:w="1373" w:type="dxa"/>
            <w:vAlign w:val="center"/>
          </w:tcPr>
          <w:p w14:paraId="3BB9088D">
            <w:pPr>
              <w:pStyle w:val="14"/>
            </w:pPr>
          </w:p>
        </w:tc>
        <w:tc>
          <w:tcPr>
            <w:tcW w:w="1140" w:type="dxa"/>
            <w:vAlign w:val="center"/>
          </w:tcPr>
          <w:p w14:paraId="5869C026">
            <w:pPr>
              <w:pStyle w:val="14"/>
            </w:pPr>
            <w:r>
              <w:rPr>
                <w:rFonts w:hint="eastAsia"/>
                <w:lang w:val="en-US" w:eastAsia="zh-CN"/>
              </w:rPr>
              <w:t>✔</w:t>
            </w:r>
          </w:p>
        </w:tc>
        <w:tc>
          <w:tcPr>
            <w:tcW w:w="1050" w:type="dxa"/>
            <w:vAlign w:val="center"/>
          </w:tcPr>
          <w:p w14:paraId="424AA30D">
            <w:pPr>
              <w:pStyle w:val="14"/>
            </w:pPr>
          </w:p>
        </w:tc>
        <w:tc>
          <w:tcPr>
            <w:tcW w:w="1039" w:type="dxa"/>
            <w:tcBorders>
              <w:right w:val="single" w:color="auto" w:sz="12" w:space="0"/>
            </w:tcBorders>
            <w:vAlign w:val="center"/>
          </w:tcPr>
          <w:p w14:paraId="1F4AB375">
            <w:pPr>
              <w:pStyle w:val="14"/>
            </w:pPr>
          </w:p>
        </w:tc>
      </w:tr>
      <w:tr w14:paraId="5E8D30AA">
        <w:trPr>
          <w:trHeight w:val="340" w:hRule="atLeast"/>
          <w:jc w:val="center"/>
        </w:trPr>
        <w:tc>
          <w:tcPr>
            <w:tcW w:w="3874" w:type="dxa"/>
            <w:tcBorders>
              <w:left w:val="single" w:color="auto" w:sz="12" w:space="0"/>
            </w:tcBorders>
          </w:tcPr>
          <w:p w14:paraId="2F566977">
            <w:pPr>
              <w:snapToGrid w:val="0"/>
              <w:spacing w:line="288" w:lineRule="auto"/>
              <w:ind w:right="26"/>
              <w:jc w:val="center"/>
            </w:pPr>
            <w:r>
              <w:rPr>
                <w:rFonts w:hint="eastAsia" w:asciiTheme="minorEastAsia" w:hAnsiTheme="minorEastAsia" w:eastAsiaTheme="minorEastAsia" w:cstheme="minorEastAsia"/>
                <w:sz w:val="20"/>
                <w:szCs w:val="20"/>
                <w:highlight w:val="none"/>
                <w:lang w:val="en-US" w:eastAsia="zh-CN"/>
              </w:rPr>
              <w:t xml:space="preserve">第三单元  </w:t>
            </w:r>
            <w:r>
              <w:rPr>
                <w:rFonts w:hint="eastAsia" w:asciiTheme="minorEastAsia" w:hAnsiTheme="minorEastAsia" w:eastAsiaTheme="minorEastAsia" w:cstheme="minorEastAsia"/>
                <w:sz w:val="20"/>
                <w:szCs w:val="20"/>
                <w:lang w:val="en-US" w:eastAsia="zh-CN"/>
              </w:rPr>
              <w:t>儿童权利与保护</w:t>
            </w:r>
          </w:p>
        </w:tc>
        <w:tc>
          <w:tcPr>
            <w:tcW w:w="1373" w:type="dxa"/>
            <w:vAlign w:val="center"/>
          </w:tcPr>
          <w:p w14:paraId="19D98043">
            <w:pPr>
              <w:pStyle w:val="14"/>
            </w:pPr>
            <w:r>
              <w:rPr>
                <w:rFonts w:hint="eastAsia"/>
                <w:lang w:val="en-US" w:eastAsia="zh-CN"/>
              </w:rPr>
              <w:t>✔</w:t>
            </w:r>
          </w:p>
        </w:tc>
        <w:tc>
          <w:tcPr>
            <w:tcW w:w="1140" w:type="dxa"/>
            <w:vAlign w:val="center"/>
          </w:tcPr>
          <w:p w14:paraId="1147491A">
            <w:pPr>
              <w:pStyle w:val="14"/>
            </w:pPr>
            <w:r>
              <w:rPr>
                <w:rFonts w:hint="eastAsia"/>
                <w:lang w:val="en-US" w:eastAsia="zh-CN"/>
              </w:rPr>
              <w:t>✔</w:t>
            </w:r>
          </w:p>
        </w:tc>
        <w:tc>
          <w:tcPr>
            <w:tcW w:w="1050" w:type="dxa"/>
            <w:vAlign w:val="center"/>
          </w:tcPr>
          <w:p w14:paraId="71AD61FB">
            <w:pPr>
              <w:pStyle w:val="14"/>
            </w:pPr>
          </w:p>
        </w:tc>
        <w:tc>
          <w:tcPr>
            <w:tcW w:w="1039" w:type="dxa"/>
            <w:tcBorders>
              <w:right w:val="single" w:color="auto" w:sz="12" w:space="0"/>
            </w:tcBorders>
            <w:vAlign w:val="center"/>
          </w:tcPr>
          <w:p w14:paraId="4F3D110C">
            <w:pPr>
              <w:pStyle w:val="14"/>
            </w:pPr>
          </w:p>
        </w:tc>
      </w:tr>
      <w:tr w14:paraId="3E3E5483">
        <w:trPr>
          <w:trHeight w:val="340" w:hRule="atLeast"/>
          <w:jc w:val="center"/>
        </w:trPr>
        <w:tc>
          <w:tcPr>
            <w:tcW w:w="3874" w:type="dxa"/>
            <w:tcBorders>
              <w:left w:val="single" w:color="auto" w:sz="12" w:space="0"/>
            </w:tcBorders>
          </w:tcPr>
          <w:p w14:paraId="41215DF8">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第四单元  学前教育的政府职责</w:t>
            </w:r>
          </w:p>
        </w:tc>
        <w:tc>
          <w:tcPr>
            <w:tcW w:w="1373" w:type="dxa"/>
            <w:vAlign w:val="center"/>
          </w:tcPr>
          <w:p w14:paraId="34A06386">
            <w:pPr>
              <w:pStyle w:val="14"/>
            </w:pPr>
            <w:r>
              <w:rPr>
                <w:rFonts w:hint="eastAsia"/>
                <w:lang w:val="en-US" w:eastAsia="zh-CN"/>
              </w:rPr>
              <w:t>✔</w:t>
            </w:r>
          </w:p>
        </w:tc>
        <w:tc>
          <w:tcPr>
            <w:tcW w:w="1140" w:type="dxa"/>
            <w:vAlign w:val="center"/>
          </w:tcPr>
          <w:p w14:paraId="094DA582">
            <w:pPr>
              <w:pStyle w:val="14"/>
            </w:pPr>
            <w:r>
              <w:rPr>
                <w:rFonts w:hint="eastAsia"/>
                <w:lang w:val="en-US" w:eastAsia="zh-CN"/>
              </w:rPr>
              <w:t>✔</w:t>
            </w:r>
          </w:p>
        </w:tc>
        <w:tc>
          <w:tcPr>
            <w:tcW w:w="1050" w:type="dxa"/>
            <w:vAlign w:val="center"/>
          </w:tcPr>
          <w:p w14:paraId="4B503523">
            <w:pPr>
              <w:pStyle w:val="14"/>
            </w:pPr>
          </w:p>
        </w:tc>
        <w:tc>
          <w:tcPr>
            <w:tcW w:w="1039" w:type="dxa"/>
            <w:tcBorders>
              <w:right w:val="single" w:color="auto" w:sz="12" w:space="0"/>
            </w:tcBorders>
            <w:vAlign w:val="center"/>
          </w:tcPr>
          <w:p w14:paraId="06BA1370">
            <w:pPr>
              <w:pStyle w:val="14"/>
            </w:pPr>
          </w:p>
        </w:tc>
      </w:tr>
      <w:tr w14:paraId="567CF294">
        <w:trPr>
          <w:trHeight w:val="340" w:hRule="atLeast"/>
          <w:jc w:val="center"/>
        </w:trPr>
        <w:tc>
          <w:tcPr>
            <w:tcW w:w="3874" w:type="dxa"/>
            <w:tcBorders>
              <w:left w:val="single" w:color="auto" w:sz="12" w:space="0"/>
            </w:tcBorders>
          </w:tcPr>
          <w:p w14:paraId="5264000C">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第五单元  学前教育的政府管理</w:t>
            </w:r>
          </w:p>
        </w:tc>
        <w:tc>
          <w:tcPr>
            <w:tcW w:w="1373" w:type="dxa"/>
            <w:vAlign w:val="center"/>
          </w:tcPr>
          <w:p w14:paraId="5E0D4071">
            <w:pPr>
              <w:pStyle w:val="14"/>
            </w:pPr>
            <w:r>
              <w:rPr>
                <w:rFonts w:hint="eastAsia"/>
                <w:lang w:val="en-US" w:eastAsia="zh-CN"/>
              </w:rPr>
              <w:t>✔</w:t>
            </w:r>
          </w:p>
        </w:tc>
        <w:tc>
          <w:tcPr>
            <w:tcW w:w="1140" w:type="dxa"/>
            <w:vAlign w:val="center"/>
          </w:tcPr>
          <w:p w14:paraId="322CE383">
            <w:pPr>
              <w:pStyle w:val="14"/>
            </w:pPr>
            <w:r>
              <w:rPr>
                <w:rFonts w:hint="eastAsia"/>
                <w:lang w:val="en-US" w:eastAsia="zh-CN"/>
              </w:rPr>
              <w:t>✔</w:t>
            </w:r>
          </w:p>
        </w:tc>
        <w:tc>
          <w:tcPr>
            <w:tcW w:w="1050" w:type="dxa"/>
            <w:vAlign w:val="center"/>
          </w:tcPr>
          <w:p w14:paraId="27042FC2">
            <w:pPr>
              <w:pStyle w:val="14"/>
            </w:pPr>
          </w:p>
        </w:tc>
        <w:tc>
          <w:tcPr>
            <w:tcW w:w="1039" w:type="dxa"/>
            <w:tcBorders>
              <w:right w:val="single" w:color="auto" w:sz="12" w:space="0"/>
            </w:tcBorders>
            <w:vAlign w:val="center"/>
          </w:tcPr>
          <w:p w14:paraId="07862577">
            <w:pPr>
              <w:pStyle w:val="14"/>
            </w:pPr>
          </w:p>
        </w:tc>
      </w:tr>
      <w:tr w14:paraId="632F99D2">
        <w:trPr>
          <w:trHeight w:val="340" w:hRule="atLeast"/>
          <w:jc w:val="center"/>
        </w:trPr>
        <w:tc>
          <w:tcPr>
            <w:tcW w:w="3874" w:type="dxa"/>
            <w:tcBorders>
              <w:left w:val="single" w:color="auto" w:sz="12" w:space="0"/>
            </w:tcBorders>
          </w:tcPr>
          <w:p w14:paraId="36E024AD">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第六单元  幼儿园的法律地位</w:t>
            </w:r>
          </w:p>
        </w:tc>
        <w:tc>
          <w:tcPr>
            <w:tcW w:w="1373" w:type="dxa"/>
            <w:vAlign w:val="center"/>
          </w:tcPr>
          <w:p w14:paraId="139D56DF">
            <w:pPr>
              <w:pStyle w:val="14"/>
            </w:pPr>
          </w:p>
        </w:tc>
        <w:tc>
          <w:tcPr>
            <w:tcW w:w="1140" w:type="dxa"/>
            <w:vAlign w:val="center"/>
          </w:tcPr>
          <w:p w14:paraId="71F573EC">
            <w:pPr>
              <w:pStyle w:val="14"/>
            </w:pPr>
          </w:p>
        </w:tc>
        <w:tc>
          <w:tcPr>
            <w:tcW w:w="1050" w:type="dxa"/>
            <w:vAlign w:val="center"/>
          </w:tcPr>
          <w:p w14:paraId="57AD0F15">
            <w:pPr>
              <w:pStyle w:val="14"/>
            </w:pPr>
          </w:p>
        </w:tc>
        <w:tc>
          <w:tcPr>
            <w:tcW w:w="1039" w:type="dxa"/>
            <w:tcBorders>
              <w:right w:val="single" w:color="auto" w:sz="12" w:space="0"/>
            </w:tcBorders>
            <w:vAlign w:val="center"/>
          </w:tcPr>
          <w:p w14:paraId="70E1CC89">
            <w:pPr>
              <w:pStyle w:val="14"/>
            </w:pPr>
            <w:r>
              <w:rPr>
                <w:rFonts w:hint="eastAsia"/>
                <w:lang w:val="en-US" w:eastAsia="zh-CN"/>
              </w:rPr>
              <w:t>✔</w:t>
            </w:r>
          </w:p>
        </w:tc>
      </w:tr>
      <w:tr w14:paraId="6CA5AB38">
        <w:trPr>
          <w:trHeight w:val="340" w:hRule="atLeast"/>
          <w:jc w:val="center"/>
        </w:trPr>
        <w:tc>
          <w:tcPr>
            <w:tcW w:w="3874" w:type="dxa"/>
            <w:tcBorders>
              <w:left w:val="single" w:color="auto" w:sz="12" w:space="0"/>
            </w:tcBorders>
          </w:tcPr>
          <w:p w14:paraId="53B1345E">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第七单元  幼儿园的设立与运行</w:t>
            </w:r>
          </w:p>
        </w:tc>
        <w:tc>
          <w:tcPr>
            <w:tcW w:w="1373" w:type="dxa"/>
            <w:vAlign w:val="center"/>
          </w:tcPr>
          <w:p w14:paraId="50B8CE05">
            <w:pPr>
              <w:pStyle w:val="14"/>
            </w:pPr>
          </w:p>
        </w:tc>
        <w:tc>
          <w:tcPr>
            <w:tcW w:w="1140" w:type="dxa"/>
            <w:vAlign w:val="center"/>
          </w:tcPr>
          <w:p w14:paraId="5A1D3D67">
            <w:pPr>
              <w:pStyle w:val="14"/>
            </w:pPr>
          </w:p>
        </w:tc>
        <w:tc>
          <w:tcPr>
            <w:tcW w:w="1050" w:type="dxa"/>
            <w:vAlign w:val="center"/>
          </w:tcPr>
          <w:p w14:paraId="3AD4AC48">
            <w:pPr>
              <w:pStyle w:val="14"/>
            </w:pPr>
          </w:p>
        </w:tc>
        <w:tc>
          <w:tcPr>
            <w:tcW w:w="1039" w:type="dxa"/>
            <w:tcBorders>
              <w:right w:val="single" w:color="auto" w:sz="12" w:space="0"/>
            </w:tcBorders>
            <w:vAlign w:val="center"/>
          </w:tcPr>
          <w:p w14:paraId="62DD34EA">
            <w:pPr>
              <w:pStyle w:val="14"/>
            </w:pPr>
            <w:r>
              <w:rPr>
                <w:rFonts w:hint="eastAsia"/>
                <w:lang w:val="en-US" w:eastAsia="zh-CN"/>
              </w:rPr>
              <w:t>✔</w:t>
            </w:r>
          </w:p>
        </w:tc>
      </w:tr>
      <w:tr w14:paraId="36794862">
        <w:trPr>
          <w:trHeight w:val="340" w:hRule="atLeast"/>
          <w:jc w:val="center"/>
        </w:trPr>
        <w:tc>
          <w:tcPr>
            <w:tcW w:w="3874" w:type="dxa"/>
            <w:tcBorders>
              <w:left w:val="single" w:color="auto" w:sz="12" w:space="0"/>
            </w:tcBorders>
          </w:tcPr>
          <w:p w14:paraId="4DEA87F6">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第八单元  幼儿园的保育与教育</w:t>
            </w:r>
          </w:p>
        </w:tc>
        <w:tc>
          <w:tcPr>
            <w:tcW w:w="1373" w:type="dxa"/>
            <w:vAlign w:val="center"/>
          </w:tcPr>
          <w:p w14:paraId="0D3DCC00">
            <w:pPr>
              <w:pStyle w:val="14"/>
            </w:pPr>
          </w:p>
        </w:tc>
        <w:tc>
          <w:tcPr>
            <w:tcW w:w="1140" w:type="dxa"/>
            <w:vAlign w:val="center"/>
          </w:tcPr>
          <w:p w14:paraId="1086FD92">
            <w:pPr>
              <w:pStyle w:val="14"/>
            </w:pPr>
          </w:p>
        </w:tc>
        <w:tc>
          <w:tcPr>
            <w:tcW w:w="1050" w:type="dxa"/>
            <w:vAlign w:val="center"/>
          </w:tcPr>
          <w:p w14:paraId="1B0116E8">
            <w:pPr>
              <w:pStyle w:val="14"/>
            </w:pPr>
            <w:r>
              <w:rPr>
                <w:rFonts w:hint="eastAsia"/>
                <w:lang w:val="en-US" w:eastAsia="zh-CN"/>
              </w:rPr>
              <w:t>✔</w:t>
            </w:r>
          </w:p>
        </w:tc>
        <w:tc>
          <w:tcPr>
            <w:tcW w:w="1039" w:type="dxa"/>
            <w:tcBorders>
              <w:right w:val="single" w:color="auto" w:sz="12" w:space="0"/>
            </w:tcBorders>
            <w:vAlign w:val="center"/>
          </w:tcPr>
          <w:p w14:paraId="0A9AA03A">
            <w:pPr>
              <w:pStyle w:val="14"/>
            </w:pPr>
          </w:p>
        </w:tc>
      </w:tr>
      <w:tr w14:paraId="0BAC572D">
        <w:trPr>
          <w:trHeight w:val="340" w:hRule="atLeast"/>
          <w:jc w:val="center"/>
        </w:trPr>
        <w:tc>
          <w:tcPr>
            <w:tcW w:w="3874" w:type="dxa"/>
            <w:tcBorders>
              <w:left w:val="single" w:color="auto" w:sz="12" w:space="0"/>
            </w:tcBorders>
          </w:tcPr>
          <w:p w14:paraId="67A95523">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第九单元  幼儿教师的权力与义务</w:t>
            </w:r>
          </w:p>
        </w:tc>
        <w:tc>
          <w:tcPr>
            <w:tcW w:w="1373" w:type="dxa"/>
            <w:vAlign w:val="center"/>
          </w:tcPr>
          <w:p w14:paraId="17B19DB3">
            <w:pPr>
              <w:pStyle w:val="14"/>
            </w:pPr>
          </w:p>
        </w:tc>
        <w:tc>
          <w:tcPr>
            <w:tcW w:w="1140" w:type="dxa"/>
            <w:vAlign w:val="center"/>
          </w:tcPr>
          <w:p w14:paraId="52045EE4">
            <w:pPr>
              <w:pStyle w:val="14"/>
            </w:pPr>
          </w:p>
        </w:tc>
        <w:tc>
          <w:tcPr>
            <w:tcW w:w="1050" w:type="dxa"/>
            <w:vAlign w:val="center"/>
          </w:tcPr>
          <w:p w14:paraId="6E501850">
            <w:pPr>
              <w:pStyle w:val="14"/>
            </w:pPr>
            <w:r>
              <w:rPr>
                <w:rFonts w:hint="eastAsia"/>
                <w:lang w:val="en-US" w:eastAsia="zh-CN"/>
              </w:rPr>
              <w:t>✔</w:t>
            </w:r>
          </w:p>
        </w:tc>
        <w:tc>
          <w:tcPr>
            <w:tcW w:w="1039" w:type="dxa"/>
            <w:tcBorders>
              <w:right w:val="single" w:color="auto" w:sz="12" w:space="0"/>
            </w:tcBorders>
            <w:vAlign w:val="center"/>
          </w:tcPr>
          <w:p w14:paraId="3588CDBD">
            <w:pPr>
              <w:pStyle w:val="14"/>
            </w:pPr>
          </w:p>
        </w:tc>
      </w:tr>
      <w:tr w14:paraId="72C72B63">
        <w:trPr>
          <w:trHeight w:val="340" w:hRule="atLeast"/>
          <w:jc w:val="center"/>
        </w:trPr>
        <w:tc>
          <w:tcPr>
            <w:tcW w:w="3874" w:type="dxa"/>
            <w:tcBorders>
              <w:left w:val="single" w:color="auto" w:sz="12" w:space="0"/>
            </w:tcBorders>
          </w:tcPr>
          <w:p w14:paraId="2C2EEA61">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第十单元  幼儿园工作人员的资质与职责</w:t>
            </w:r>
          </w:p>
        </w:tc>
        <w:tc>
          <w:tcPr>
            <w:tcW w:w="1373" w:type="dxa"/>
            <w:vAlign w:val="center"/>
          </w:tcPr>
          <w:p w14:paraId="5BEF5C48">
            <w:pPr>
              <w:pStyle w:val="14"/>
            </w:pPr>
          </w:p>
        </w:tc>
        <w:tc>
          <w:tcPr>
            <w:tcW w:w="1140" w:type="dxa"/>
            <w:vAlign w:val="center"/>
          </w:tcPr>
          <w:p w14:paraId="63907012">
            <w:pPr>
              <w:pStyle w:val="14"/>
            </w:pPr>
          </w:p>
        </w:tc>
        <w:tc>
          <w:tcPr>
            <w:tcW w:w="1050" w:type="dxa"/>
            <w:vAlign w:val="center"/>
          </w:tcPr>
          <w:p w14:paraId="44FA601C">
            <w:pPr>
              <w:pStyle w:val="14"/>
            </w:pPr>
          </w:p>
        </w:tc>
        <w:tc>
          <w:tcPr>
            <w:tcW w:w="1039" w:type="dxa"/>
            <w:tcBorders>
              <w:right w:val="single" w:color="auto" w:sz="12" w:space="0"/>
            </w:tcBorders>
            <w:vAlign w:val="center"/>
          </w:tcPr>
          <w:p w14:paraId="6F5AE5B8">
            <w:pPr>
              <w:pStyle w:val="14"/>
            </w:pPr>
            <w:r>
              <w:rPr>
                <w:rFonts w:hint="eastAsia"/>
                <w:lang w:val="en-US" w:eastAsia="zh-CN"/>
              </w:rPr>
              <w:t>✔</w:t>
            </w:r>
          </w:p>
        </w:tc>
      </w:tr>
      <w:tr w14:paraId="3AC6DA02">
        <w:trPr>
          <w:trHeight w:val="340" w:hRule="atLeast"/>
          <w:jc w:val="center"/>
        </w:trPr>
        <w:tc>
          <w:tcPr>
            <w:tcW w:w="3874" w:type="dxa"/>
            <w:tcBorders>
              <w:left w:val="single" w:color="auto" w:sz="12" w:space="0"/>
              <w:bottom w:val="single" w:color="auto" w:sz="12" w:space="0"/>
            </w:tcBorders>
          </w:tcPr>
          <w:p w14:paraId="6B13DB73">
            <w:pPr>
              <w:snapToGrid w:val="0"/>
              <w:spacing w:line="288" w:lineRule="auto"/>
              <w:ind w:right="26"/>
              <w:jc w:val="center"/>
            </w:pPr>
            <w:r>
              <w:rPr>
                <w:rFonts w:hint="eastAsia" w:asciiTheme="minorEastAsia" w:hAnsiTheme="minorEastAsia" w:eastAsiaTheme="minorEastAsia" w:cstheme="minorEastAsia"/>
                <w:bCs/>
                <w:kern w:val="0"/>
                <w:sz w:val="20"/>
                <w:szCs w:val="20"/>
                <w:lang w:val="en-US" w:eastAsia="zh-CN"/>
              </w:rPr>
              <w:t>第十一单元  复习总结</w:t>
            </w:r>
          </w:p>
        </w:tc>
        <w:tc>
          <w:tcPr>
            <w:tcW w:w="1373" w:type="dxa"/>
            <w:tcBorders>
              <w:bottom w:val="single" w:color="auto" w:sz="12" w:space="0"/>
            </w:tcBorders>
            <w:vAlign w:val="center"/>
          </w:tcPr>
          <w:p w14:paraId="12013CBD">
            <w:pPr>
              <w:pStyle w:val="14"/>
            </w:pPr>
            <w:r>
              <w:rPr>
                <w:rFonts w:hint="eastAsia"/>
                <w:lang w:val="en-US" w:eastAsia="zh-CN"/>
              </w:rPr>
              <w:t>✔</w:t>
            </w:r>
          </w:p>
        </w:tc>
        <w:tc>
          <w:tcPr>
            <w:tcW w:w="1140" w:type="dxa"/>
            <w:tcBorders>
              <w:bottom w:val="single" w:color="auto" w:sz="12" w:space="0"/>
            </w:tcBorders>
            <w:vAlign w:val="center"/>
          </w:tcPr>
          <w:p w14:paraId="238D2F1E">
            <w:pPr>
              <w:pStyle w:val="14"/>
            </w:pPr>
            <w:r>
              <w:rPr>
                <w:rFonts w:hint="eastAsia"/>
                <w:lang w:val="en-US" w:eastAsia="zh-CN"/>
              </w:rPr>
              <w:t>✔</w:t>
            </w:r>
          </w:p>
        </w:tc>
        <w:tc>
          <w:tcPr>
            <w:tcW w:w="1050" w:type="dxa"/>
            <w:tcBorders>
              <w:bottom w:val="single" w:color="auto" w:sz="12" w:space="0"/>
            </w:tcBorders>
            <w:vAlign w:val="center"/>
          </w:tcPr>
          <w:p w14:paraId="5A4657F8">
            <w:pPr>
              <w:pStyle w:val="14"/>
            </w:pPr>
            <w:r>
              <w:rPr>
                <w:rFonts w:hint="eastAsia"/>
                <w:lang w:val="en-US" w:eastAsia="zh-CN"/>
              </w:rPr>
              <w:t>✔</w:t>
            </w:r>
          </w:p>
        </w:tc>
        <w:tc>
          <w:tcPr>
            <w:tcW w:w="1039" w:type="dxa"/>
            <w:tcBorders>
              <w:bottom w:val="single" w:color="auto" w:sz="12" w:space="0"/>
              <w:right w:val="single" w:color="auto" w:sz="12" w:space="0"/>
            </w:tcBorders>
            <w:vAlign w:val="center"/>
          </w:tcPr>
          <w:p w14:paraId="0B8372D0">
            <w:pPr>
              <w:pStyle w:val="14"/>
            </w:pPr>
            <w:r>
              <w:rPr>
                <w:rFonts w:hint="eastAsia"/>
                <w:lang w:val="en-US" w:eastAsia="zh-CN"/>
              </w:rPr>
              <w:t>✔</w:t>
            </w:r>
          </w:p>
        </w:tc>
      </w:tr>
    </w:tbl>
    <w:p w14:paraId="333CE8C5">
      <w:pPr>
        <w:pStyle w:val="17"/>
        <w:spacing w:before="326" w:beforeLines="100" w:after="163"/>
      </w:pPr>
      <w:r>
        <w:rPr>
          <w:rFonts w:hint="eastAsia"/>
        </w:rPr>
        <w:t>（三）课程教学方法与学时分配</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419"/>
        <w:gridCol w:w="1703"/>
        <w:gridCol w:w="2243"/>
        <w:gridCol w:w="725"/>
        <w:gridCol w:w="669"/>
        <w:gridCol w:w="717"/>
      </w:tblGrid>
      <w:tr w14:paraId="12B174D0">
        <w:trPr>
          <w:trHeight w:val="340" w:hRule="atLeast"/>
          <w:jc w:val="center"/>
        </w:trPr>
        <w:tc>
          <w:tcPr>
            <w:tcW w:w="2419" w:type="dxa"/>
            <w:vMerge w:val="restart"/>
            <w:tcBorders>
              <w:top w:val="single" w:color="auto" w:sz="12" w:space="0"/>
              <w:left w:val="single" w:color="auto" w:sz="12" w:space="0"/>
            </w:tcBorders>
            <w:vAlign w:val="center"/>
          </w:tcPr>
          <w:p w14:paraId="5E9D3715">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1703" w:type="dxa"/>
            <w:vMerge w:val="restart"/>
            <w:tcBorders>
              <w:top w:val="single" w:color="auto" w:sz="12" w:space="0"/>
            </w:tcBorders>
            <w:vAlign w:val="center"/>
          </w:tcPr>
          <w:p w14:paraId="67B9A996">
            <w:pPr>
              <w:pStyle w:val="13"/>
              <w:widowControl w:val="0"/>
              <w:rPr>
                <w:szCs w:val="21"/>
              </w:rPr>
            </w:pPr>
            <w:r>
              <w:rPr>
                <w:rFonts w:hint="eastAsia" w:ascii="黑体" w:hAnsi="黑体"/>
                <w:szCs w:val="21"/>
              </w:rPr>
              <w:t>教与学方式</w:t>
            </w:r>
          </w:p>
        </w:tc>
        <w:tc>
          <w:tcPr>
            <w:tcW w:w="2243" w:type="dxa"/>
            <w:vMerge w:val="restart"/>
            <w:tcBorders>
              <w:top w:val="single" w:color="auto" w:sz="12" w:space="0"/>
            </w:tcBorders>
            <w:vAlign w:val="center"/>
          </w:tcPr>
          <w:p w14:paraId="2486C5D2">
            <w:pPr>
              <w:pStyle w:val="13"/>
              <w:widowControl w:val="0"/>
              <w:rPr>
                <w:rFonts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vAlign w:val="center"/>
          </w:tcPr>
          <w:p w14:paraId="34883FD5">
            <w:pPr>
              <w:pStyle w:val="13"/>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5BB233C5">
        <w:trPr>
          <w:trHeight w:val="340" w:hRule="atLeast"/>
          <w:jc w:val="center"/>
        </w:trPr>
        <w:tc>
          <w:tcPr>
            <w:tcW w:w="2419" w:type="dxa"/>
            <w:vMerge w:val="continue"/>
            <w:tcBorders>
              <w:left w:val="single" w:color="auto" w:sz="12" w:space="0"/>
            </w:tcBorders>
          </w:tcPr>
          <w:p w14:paraId="067A9AF5">
            <w:pPr>
              <w:widowControl w:val="0"/>
              <w:snapToGrid w:val="0"/>
              <w:jc w:val="center"/>
              <w:rPr>
                <w:rFonts w:ascii="黑体" w:hAnsi="黑体" w:eastAsia="黑体"/>
                <w:bCs/>
                <w:sz w:val="21"/>
                <w:szCs w:val="21"/>
              </w:rPr>
            </w:pPr>
          </w:p>
        </w:tc>
        <w:tc>
          <w:tcPr>
            <w:tcW w:w="1703" w:type="dxa"/>
            <w:vMerge w:val="continue"/>
          </w:tcPr>
          <w:p w14:paraId="7E11B48E">
            <w:pPr>
              <w:widowControl w:val="0"/>
              <w:snapToGrid w:val="0"/>
              <w:jc w:val="center"/>
              <w:rPr>
                <w:rFonts w:ascii="黑体" w:hAnsi="黑体" w:eastAsia="黑体"/>
                <w:bCs/>
                <w:sz w:val="21"/>
                <w:szCs w:val="21"/>
              </w:rPr>
            </w:pPr>
          </w:p>
        </w:tc>
        <w:tc>
          <w:tcPr>
            <w:tcW w:w="2243" w:type="dxa"/>
            <w:vMerge w:val="continue"/>
          </w:tcPr>
          <w:p w14:paraId="12C918A1">
            <w:pPr>
              <w:widowControl w:val="0"/>
              <w:snapToGrid w:val="0"/>
              <w:jc w:val="center"/>
              <w:rPr>
                <w:rFonts w:ascii="黑体" w:hAnsi="黑体" w:eastAsia="黑体"/>
                <w:bCs/>
                <w:sz w:val="21"/>
                <w:szCs w:val="21"/>
              </w:rPr>
            </w:pPr>
          </w:p>
        </w:tc>
        <w:tc>
          <w:tcPr>
            <w:tcW w:w="725" w:type="dxa"/>
            <w:vAlign w:val="center"/>
          </w:tcPr>
          <w:p w14:paraId="380B8F7E">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69" w:type="dxa"/>
            <w:vAlign w:val="center"/>
          </w:tcPr>
          <w:p w14:paraId="5A7775DD">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vAlign w:val="center"/>
          </w:tcPr>
          <w:p w14:paraId="03B83C1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573A213A">
        <w:trPr>
          <w:trHeight w:val="454" w:hRule="atLeast"/>
          <w:jc w:val="center"/>
        </w:trPr>
        <w:tc>
          <w:tcPr>
            <w:tcW w:w="2419" w:type="dxa"/>
            <w:tcBorders>
              <w:left w:val="single" w:color="auto" w:sz="12" w:space="0"/>
            </w:tcBorders>
            <w:shd w:val="clear" w:color="auto" w:fill="auto"/>
            <w:vAlign w:val="top"/>
          </w:tcPr>
          <w:p w14:paraId="42B1774F">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highlight w:val="none"/>
                <w:lang w:val="en-US" w:eastAsia="zh-CN"/>
              </w:rPr>
              <w:t xml:space="preserve">第一单元 </w:t>
            </w:r>
            <w:r>
              <w:rPr>
                <w:rFonts w:hint="eastAsia" w:asciiTheme="minorEastAsia" w:hAnsiTheme="minorEastAsia" w:eastAsiaTheme="minorEastAsia" w:cstheme="minorEastAsia"/>
                <w:sz w:val="20"/>
                <w:szCs w:val="20"/>
                <w:lang w:val="en-US" w:eastAsia="zh-CN"/>
              </w:rPr>
              <w:t>导论</w:t>
            </w:r>
          </w:p>
        </w:tc>
        <w:tc>
          <w:tcPr>
            <w:tcW w:w="1703" w:type="dxa"/>
            <w:vAlign w:val="center"/>
          </w:tcPr>
          <w:p w14:paraId="1059E68A">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讲授和案例讨论</w:t>
            </w:r>
          </w:p>
        </w:tc>
        <w:tc>
          <w:tcPr>
            <w:tcW w:w="2243" w:type="dxa"/>
            <w:vAlign w:val="center"/>
          </w:tcPr>
          <w:p w14:paraId="1789421D">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课堂表现、出勤、作业</w:t>
            </w:r>
          </w:p>
        </w:tc>
        <w:tc>
          <w:tcPr>
            <w:tcW w:w="725" w:type="dxa"/>
            <w:vAlign w:val="center"/>
          </w:tcPr>
          <w:p w14:paraId="3B204F5E">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3978EA17">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750AD88A">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r>
      <w:tr w14:paraId="73A1648E">
        <w:trPr>
          <w:trHeight w:val="454" w:hRule="atLeast"/>
          <w:jc w:val="center"/>
        </w:trPr>
        <w:tc>
          <w:tcPr>
            <w:tcW w:w="2419" w:type="dxa"/>
            <w:tcBorders>
              <w:left w:val="single" w:color="auto" w:sz="12" w:space="0"/>
            </w:tcBorders>
            <w:shd w:val="clear" w:color="auto" w:fill="auto"/>
            <w:vAlign w:val="top"/>
          </w:tcPr>
          <w:p w14:paraId="37348934">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第二单元  幼儿和学前教育政策法规</w:t>
            </w:r>
          </w:p>
        </w:tc>
        <w:tc>
          <w:tcPr>
            <w:tcW w:w="1703" w:type="dxa"/>
            <w:vAlign w:val="center"/>
          </w:tcPr>
          <w:p w14:paraId="1BDEB4A2">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03D8359A">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06F251C7">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c>
          <w:tcPr>
            <w:tcW w:w="669" w:type="dxa"/>
            <w:vAlign w:val="center"/>
          </w:tcPr>
          <w:p w14:paraId="499CFAAC">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5A53E355">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r>
      <w:tr w14:paraId="1BCDE8D2">
        <w:trPr>
          <w:trHeight w:val="454" w:hRule="atLeast"/>
          <w:jc w:val="center"/>
        </w:trPr>
        <w:tc>
          <w:tcPr>
            <w:tcW w:w="2419" w:type="dxa"/>
            <w:tcBorders>
              <w:left w:val="single" w:color="auto" w:sz="12" w:space="0"/>
            </w:tcBorders>
            <w:shd w:val="clear" w:color="auto" w:fill="auto"/>
            <w:vAlign w:val="top"/>
          </w:tcPr>
          <w:p w14:paraId="06ECBED1">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highlight w:val="none"/>
                <w:lang w:val="en-US" w:eastAsia="zh-CN"/>
              </w:rPr>
              <w:t xml:space="preserve">第三单元  </w:t>
            </w:r>
            <w:r>
              <w:rPr>
                <w:rFonts w:hint="eastAsia" w:asciiTheme="minorEastAsia" w:hAnsiTheme="minorEastAsia" w:eastAsiaTheme="minorEastAsia" w:cstheme="minorEastAsia"/>
                <w:sz w:val="20"/>
                <w:szCs w:val="20"/>
                <w:lang w:val="en-US" w:eastAsia="zh-CN"/>
              </w:rPr>
              <w:t>儿童权利与保护</w:t>
            </w:r>
          </w:p>
        </w:tc>
        <w:tc>
          <w:tcPr>
            <w:tcW w:w="1703" w:type="dxa"/>
            <w:vAlign w:val="center"/>
          </w:tcPr>
          <w:p w14:paraId="7C45E697">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57B6429A">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321E45F0">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c>
          <w:tcPr>
            <w:tcW w:w="669" w:type="dxa"/>
            <w:vAlign w:val="center"/>
          </w:tcPr>
          <w:p w14:paraId="1BEF4558">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75FEE1D2">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4</w:t>
            </w:r>
          </w:p>
        </w:tc>
      </w:tr>
      <w:tr w14:paraId="0A0D2391">
        <w:trPr>
          <w:trHeight w:val="454" w:hRule="atLeast"/>
          <w:jc w:val="center"/>
        </w:trPr>
        <w:tc>
          <w:tcPr>
            <w:tcW w:w="2419" w:type="dxa"/>
            <w:tcBorders>
              <w:left w:val="single" w:color="auto" w:sz="12" w:space="0"/>
            </w:tcBorders>
            <w:shd w:val="clear" w:color="auto" w:fill="auto"/>
            <w:vAlign w:val="top"/>
          </w:tcPr>
          <w:p w14:paraId="5485BE1D">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第四单元  学前教育的政府职责</w:t>
            </w:r>
          </w:p>
        </w:tc>
        <w:tc>
          <w:tcPr>
            <w:tcW w:w="1703" w:type="dxa"/>
            <w:vAlign w:val="center"/>
          </w:tcPr>
          <w:p w14:paraId="4B066DAF">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188C6FC4">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0732628E">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47F1ECF7">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48F3BE4A">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2</w:t>
            </w:r>
          </w:p>
        </w:tc>
      </w:tr>
      <w:tr w14:paraId="5E8EE2EB">
        <w:trPr>
          <w:trHeight w:val="454" w:hRule="atLeast"/>
          <w:jc w:val="center"/>
        </w:trPr>
        <w:tc>
          <w:tcPr>
            <w:tcW w:w="2419" w:type="dxa"/>
            <w:tcBorders>
              <w:left w:val="single" w:color="auto" w:sz="12" w:space="0"/>
            </w:tcBorders>
            <w:shd w:val="clear" w:color="auto" w:fill="auto"/>
            <w:vAlign w:val="top"/>
          </w:tcPr>
          <w:p w14:paraId="2BA12AAB">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第五单元  学前教育的政府管理</w:t>
            </w:r>
          </w:p>
        </w:tc>
        <w:tc>
          <w:tcPr>
            <w:tcW w:w="1703" w:type="dxa"/>
            <w:vAlign w:val="center"/>
          </w:tcPr>
          <w:p w14:paraId="667385CF">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4BC8E99C">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16E60578">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1D0C2B1F">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46599349">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2</w:t>
            </w:r>
          </w:p>
        </w:tc>
      </w:tr>
      <w:tr w14:paraId="50E499EA">
        <w:trPr>
          <w:trHeight w:val="454" w:hRule="atLeast"/>
          <w:jc w:val="center"/>
        </w:trPr>
        <w:tc>
          <w:tcPr>
            <w:tcW w:w="2419" w:type="dxa"/>
            <w:tcBorders>
              <w:left w:val="single" w:color="auto" w:sz="12" w:space="0"/>
            </w:tcBorders>
            <w:shd w:val="clear" w:color="auto" w:fill="auto"/>
            <w:vAlign w:val="top"/>
          </w:tcPr>
          <w:p w14:paraId="426F0B92">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第六单元  幼儿园的法律地位</w:t>
            </w:r>
          </w:p>
        </w:tc>
        <w:tc>
          <w:tcPr>
            <w:tcW w:w="1703" w:type="dxa"/>
            <w:vAlign w:val="center"/>
          </w:tcPr>
          <w:p w14:paraId="1A3F979F">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1BC46DB9">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52942806">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70521572">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3C12878E">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2</w:t>
            </w:r>
          </w:p>
        </w:tc>
      </w:tr>
      <w:tr w14:paraId="66A45928">
        <w:trPr>
          <w:trHeight w:val="454" w:hRule="atLeast"/>
          <w:jc w:val="center"/>
        </w:trPr>
        <w:tc>
          <w:tcPr>
            <w:tcW w:w="2419" w:type="dxa"/>
            <w:tcBorders>
              <w:left w:val="single" w:color="auto" w:sz="12" w:space="0"/>
            </w:tcBorders>
            <w:shd w:val="clear" w:color="auto" w:fill="auto"/>
            <w:vAlign w:val="top"/>
          </w:tcPr>
          <w:p w14:paraId="36EEE8EC">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第七单元  幼儿园的设立与运行</w:t>
            </w:r>
          </w:p>
        </w:tc>
        <w:tc>
          <w:tcPr>
            <w:tcW w:w="1703" w:type="dxa"/>
            <w:vAlign w:val="center"/>
          </w:tcPr>
          <w:p w14:paraId="4D15A216">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1CD62C42">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097337EA">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c>
          <w:tcPr>
            <w:tcW w:w="669" w:type="dxa"/>
            <w:vAlign w:val="center"/>
          </w:tcPr>
          <w:p w14:paraId="5B98F5A5">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6886AEDF">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4</w:t>
            </w:r>
          </w:p>
        </w:tc>
      </w:tr>
      <w:tr w14:paraId="0BA1791E">
        <w:trPr>
          <w:trHeight w:val="454" w:hRule="atLeast"/>
          <w:jc w:val="center"/>
        </w:trPr>
        <w:tc>
          <w:tcPr>
            <w:tcW w:w="2419" w:type="dxa"/>
            <w:tcBorders>
              <w:left w:val="single" w:color="auto" w:sz="12" w:space="0"/>
            </w:tcBorders>
            <w:shd w:val="clear" w:color="auto" w:fill="auto"/>
            <w:vAlign w:val="top"/>
          </w:tcPr>
          <w:p w14:paraId="43C90022">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第八单元  幼儿园的保育与教育</w:t>
            </w:r>
          </w:p>
        </w:tc>
        <w:tc>
          <w:tcPr>
            <w:tcW w:w="1703" w:type="dxa"/>
            <w:vAlign w:val="center"/>
          </w:tcPr>
          <w:p w14:paraId="18D41184">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1DCFCB62">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0344AB7D">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c>
          <w:tcPr>
            <w:tcW w:w="669" w:type="dxa"/>
            <w:vAlign w:val="center"/>
          </w:tcPr>
          <w:p w14:paraId="52C164AD">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04E0F71A">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4</w:t>
            </w:r>
          </w:p>
        </w:tc>
      </w:tr>
      <w:tr w14:paraId="61C24673">
        <w:trPr>
          <w:trHeight w:val="454" w:hRule="atLeast"/>
          <w:jc w:val="center"/>
        </w:trPr>
        <w:tc>
          <w:tcPr>
            <w:tcW w:w="2419" w:type="dxa"/>
            <w:tcBorders>
              <w:left w:val="single" w:color="auto" w:sz="12" w:space="0"/>
            </w:tcBorders>
            <w:shd w:val="clear" w:color="auto" w:fill="auto"/>
            <w:vAlign w:val="top"/>
          </w:tcPr>
          <w:p w14:paraId="7E2F4D09">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第九单元  幼儿教师的权力与义务</w:t>
            </w:r>
          </w:p>
        </w:tc>
        <w:tc>
          <w:tcPr>
            <w:tcW w:w="1703" w:type="dxa"/>
            <w:vAlign w:val="center"/>
          </w:tcPr>
          <w:p w14:paraId="7CE9F8ED">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23F14BB3">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19E479CB">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c>
          <w:tcPr>
            <w:tcW w:w="669" w:type="dxa"/>
            <w:vAlign w:val="center"/>
          </w:tcPr>
          <w:p w14:paraId="258EB933">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5DAB8874">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4</w:t>
            </w:r>
          </w:p>
        </w:tc>
      </w:tr>
      <w:tr w14:paraId="6F5707F9">
        <w:trPr>
          <w:trHeight w:val="454" w:hRule="atLeast"/>
          <w:jc w:val="center"/>
        </w:trPr>
        <w:tc>
          <w:tcPr>
            <w:tcW w:w="2419" w:type="dxa"/>
            <w:tcBorders>
              <w:left w:val="single" w:color="auto" w:sz="12" w:space="0"/>
            </w:tcBorders>
            <w:shd w:val="clear" w:color="auto" w:fill="auto"/>
            <w:vAlign w:val="top"/>
          </w:tcPr>
          <w:p w14:paraId="45D8263A">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第十单元  幼儿园工作人员的资质与职责</w:t>
            </w:r>
          </w:p>
        </w:tc>
        <w:tc>
          <w:tcPr>
            <w:tcW w:w="1703" w:type="dxa"/>
            <w:vAlign w:val="center"/>
          </w:tcPr>
          <w:p w14:paraId="344900AC">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257E62F2">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2CB46CFE">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1D7B878F">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355EE636">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2</w:t>
            </w:r>
          </w:p>
        </w:tc>
      </w:tr>
      <w:tr w14:paraId="3E69FBC3">
        <w:trPr>
          <w:trHeight w:val="454" w:hRule="atLeast"/>
          <w:jc w:val="center"/>
        </w:trPr>
        <w:tc>
          <w:tcPr>
            <w:tcW w:w="2419" w:type="dxa"/>
            <w:tcBorders>
              <w:left w:val="single" w:color="auto" w:sz="12" w:space="0"/>
            </w:tcBorders>
            <w:shd w:val="clear" w:color="auto" w:fill="auto"/>
            <w:vAlign w:val="top"/>
          </w:tcPr>
          <w:p w14:paraId="725A2495">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bCs/>
                <w:kern w:val="0"/>
                <w:sz w:val="20"/>
                <w:szCs w:val="20"/>
                <w:lang w:val="en-US" w:eastAsia="zh-CN"/>
              </w:rPr>
              <w:t>第十一单元  复习总结</w:t>
            </w:r>
          </w:p>
        </w:tc>
        <w:tc>
          <w:tcPr>
            <w:tcW w:w="1703" w:type="dxa"/>
            <w:vAlign w:val="center"/>
          </w:tcPr>
          <w:p w14:paraId="7F6CE5AD">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讲授和问答法</w:t>
            </w:r>
          </w:p>
        </w:tc>
        <w:tc>
          <w:tcPr>
            <w:tcW w:w="2243" w:type="dxa"/>
            <w:vAlign w:val="center"/>
          </w:tcPr>
          <w:p w14:paraId="042968BF">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w:t>
            </w:r>
          </w:p>
        </w:tc>
        <w:tc>
          <w:tcPr>
            <w:tcW w:w="725" w:type="dxa"/>
            <w:vAlign w:val="center"/>
          </w:tcPr>
          <w:p w14:paraId="6E1FF9C5">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0456E8A4">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66EF9363">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r>
      <w:tr w14:paraId="11A7C445">
        <w:trPr>
          <w:trHeight w:val="454" w:hRule="atLeast"/>
          <w:jc w:val="center"/>
        </w:trPr>
        <w:tc>
          <w:tcPr>
            <w:tcW w:w="6365" w:type="dxa"/>
            <w:gridSpan w:val="3"/>
            <w:tcBorders>
              <w:left w:val="single" w:color="auto" w:sz="12" w:space="0"/>
              <w:bottom w:val="single" w:color="auto" w:sz="12" w:space="0"/>
            </w:tcBorders>
            <w:vAlign w:val="center"/>
          </w:tcPr>
          <w:p w14:paraId="5577634D">
            <w:pPr>
              <w:pStyle w:val="13"/>
              <w:widowControl w:val="0"/>
            </w:pPr>
            <w:r>
              <w:rPr>
                <w:rFonts w:hint="eastAsia"/>
              </w:rPr>
              <w:t>合计</w:t>
            </w:r>
          </w:p>
        </w:tc>
        <w:tc>
          <w:tcPr>
            <w:tcW w:w="725" w:type="dxa"/>
            <w:tcBorders>
              <w:bottom w:val="single" w:color="auto" w:sz="12" w:space="0"/>
            </w:tcBorders>
            <w:vAlign w:val="center"/>
          </w:tcPr>
          <w:p w14:paraId="165A4810">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32</w:t>
            </w:r>
          </w:p>
        </w:tc>
        <w:tc>
          <w:tcPr>
            <w:tcW w:w="669" w:type="dxa"/>
            <w:tcBorders>
              <w:bottom w:val="single" w:color="auto" w:sz="12" w:space="0"/>
            </w:tcBorders>
            <w:vAlign w:val="center"/>
          </w:tcPr>
          <w:p w14:paraId="07119E5E">
            <w:pPr>
              <w:widowControl w:val="0"/>
              <w:snapToGrid w:val="0"/>
              <w:jc w:val="center"/>
              <w:rPr>
                <w:rFonts w:ascii="Times New Roman" w:hAnsi="Times New Roman"/>
                <w:bCs/>
                <w:sz w:val="21"/>
                <w:szCs w:val="21"/>
              </w:rPr>
            </w:pPr>
          </w:p>
        </w:tc>
        <w:tc>
          <w:tcPr>
            <w:tcW w:w="717" w:type="dxa"/>
            <w:tcBorders>
              <w:bottom w:val="single" w:color="auto" w:sz="12" w:space="0"/>
              <w:right w:val="single" w:color="auto" w:sz="12" w:space="0"/>
            </w:tcBorders>
            <w:vAlign w:val="center"/>
          </w:tcPr>
          <w:p w14:paraId="13EEC7F1">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32</w:t>
            </w:r>
          </w:p>
        </w:tc>
      </w:tr>
    </w:tbl>
    <w:p w14:paraId="06669905">
      <w:pPr>
        <w:pStyle w:val="16"/>
        <w:spacing w:before="326" w:beforeLines="100" w:line="360" w:lineRule="auto"/>
        <w:ind w:firstLine="140" w:firstLineChars="50"/>
        <w:rPr>
          <w:rFonts w:ascii="黑体" w:hAnsi="宋体"/>
        </w:rPr>
      </w:pPr>
      <w:bookmarkStart w:id="2" w:name="OLE_LINK1"/>
      <w:bookmarkStart w:id="3" w:name="OLE_LINK2"/>
      <w:r>
        <w:rPr>
          <w:rFonts w:hint="eastAsia" w:ascii="黑体" w:hAnsi="宋体"/>
        </w:rPr>
        <w:t>四、课程思政教学设计</w:t>
      </w:r>
    </w:p>
    <w:bookmarkEnd w:id="2"/>
    <w:bookmarkEnd w:id="3"/>
    <w:tbl>
      <w:tblPr>
        <w:tblStyle w:val="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9FBC1CB">
        <w:trPr>
          <w:trHeight w:val="1128" w:hRule="atLeast"/>
        </w:trPr>
        <w:tc>
          <w:tcPr>
            <w:tcW w:w="8276" w:type="dxa"/>
            <w:vAlign w:val="center"/>
          </w:tcPr>
          <w:p w14:paraId="1DCA6859">
            <w:pPr>
              <w:widowControl w:val="0"/>
              <w:numPr>
                <w:ilvl w:val="0"/>
                <w:numId w:val="0"/>
              </w:numPr>
              <w:ind w:left="-50" w:leftChars="0" w:right="-50" w:rightChars="0"/>
              <w:jc w:val="center"/>
              <w:rPr>
                <w:rFonts w:hint="eastAsia"/>
                <w:b/>
                <w:sz w:val="28"/>
              </w:rPr>
            </w:pPr>
            <w:r>
              <w:rPr>
                <w:rFonts w:hint="eastAsia"/>
                <w:b/>
                <w:sz w:val="28"/>
              </w:rPr>
              <w:t>《</w:t>
            </w:r>
            <w:r>
              <w:rPr>
                <w:rFonts w:hint="eastAsia"/>
                <w:b/>
                <w:sz w:val="28"/>
                <w:lang w:val="en-US" w:eastAsia="zh-CN"/>
              </w:rPr>
              <w:t>儿童权利公约</w:t>
            </w:r>
            <w:r>
              <w:rPr>
                <w:rFonts w:hint="eastAsia"/>
                <w:b/>
                <w:sz w:val="28"/>
              </w:rPr>
              <w:t>》</w:t>
            </w:r>
          </w:p>
          <w:p w14:paraId="7AB7F261">
            <w:pPr>
              <w:widowControl w:val="0"/>
              <w:numPr>
                <w:ilvl w:val="0"/>
                <w:numId w:val="0"/>
              </w:numPr>
              <w:ind w:left="-50" w:leftChars="0" w:right="-50" w:rightChars="0"/>
              <w:jc w:val="center"/>
              <w:rPr>
                <w:b/>
              </w:rPr>
            </w:pPr>
            <w:r>
              <w:rPr>
                <w:rFonts w:hint="eastAsia"/>
                <w:b/>
                <w:sz w:val="28"/>
              </w:rPr>
              <w:t>教学方案设计</w:t>
            </w:r>
          </w:p>
          <w:tbl>
            <w:tblPr>
              <w:tblStyle w:val="7"/>
              <w:tblpPr w:leftFromText="180" w:rightFromText="180" w:vertAnchor="text" w:tblpXSpec="center" w:tblpY="1"/>
              <w:tblOverlap w:val="never"/>
              <w:tblW w:w="8081"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1838"/>
              <w:gridCol w:w="6243"/>
            </w:tblGrid>
            <w:tr w14:paraId="08FBA57A">
              <w:trPr>
                <w:trHeight w:val="355" w:hRule="atLeast"/>
              </w:trPr>
              <w:tc>
                <w:tcPr>
                  <w:tcW w:w="1838" w:type="dxa"/>
                  <w:shd w:val="clear" w:color="auto" w:fill="auto"/>
                  <w:tcMar>
                    <w:top w:w="54" w:type="dxa"/>
                    <w:left w:w="108" w:type="dxa"/>
                    <w:bottom w:w="54" w:type="dxa"/>
                    <w:right w:w="108" w:type="dxa"/>
                  </w:tcMar>
                </w:tcPr>
                <w:p w14:paraId="5E946785">
                  <w:pPr>
                    <w:widowControl/>
                    <w:jc w:val="center"/>
                    <w:rPr>
                      <w:rFonts w:ascii="Arial" w:hAnsi="Arial" w:eastAsia="宋体" w:cs="Arial"/>
                      <w:color w:val="000000" w:themeColor="text1"/>
                      <w:kern w:val="0"/>
                      <w:szCs w:val="36"/>
                      <w14:textFill>
                        <w14:solidFill>
                          <w14:schemeClr w14:val="tx1"/>
                        </w14:solidFill>
                      </w14:textFill>
                    </w:rPr>
                  </w:pPr>
                  <w:r>
                    <w:rPr>
                      <w:rFonts w:ascii="Arial" w:hAnsi="Arial" w:eastAsia="宋体" w:cs="Arial"/>
                      <w:bCs/>
                      <w:color w:val="000000" w:themeColor="text1"/>
                      <w:kern w:val="24"/>
                      <w:szCs w:val="36"/>
                      <w14:textFill>
                        <w14:solidFill>
                          <w14:schemeClr w14:val="tx1"/>
                        </w14:solidFill>
                      </w14:textFill>
                    </w:rPr>
                    <w:t>教学内容</w:t>
                  </w:r>
                </w:p>
              </w:tc>
              <w:tc>
                <w:tcPr>
                  <w:tcW w:w="6243" w:type="dxa"/>
                  <w:shd w:val="clear" w:color="auto" w:fill="auto"/>
                  <w:tcMar>
                    <w:top w:w="54" w:type="dxa"/>
                    <w:left w:w="108" w:type="dxa"/>
                    <w:bottom w:w="54" w:type="dxa"/>
                    <w:right w:w="108" w:type="dxa"/>
                  </w:tcMar>
                </w:tcPr>
                <w:p w14:paraId="291B85B6">
                  <w:pPr>
                    <w:widowControl/>
                    <w:jc w:val="center"/>
                    <w:rPr>
                      <w:rFonts w:hint="default" w:ascii="Arial" w:hAnsi="Arial" w:eastAsia="宋体" w:cs="Arial"/>
                      <w:color w:val="000000" w:themeColor="text1"/>
                      <w:kern w:val="0"/>
                      <w:szCs w:val="36"/>
                      <w:lang w:val="en-US"/>
                      <w14:textFill>
                        <w14:solidFill>
                          <w14:schemeClr w14:val="tx1"/>
                        </w14:solidFill>
                      </w14:textFill>
                    </w:rPr>
                  </w:pPr>
                  <w:r>
                    <w:rPr>
                      <w:rFonts w:hint="eastAsia" w:ascii="仿宋_GB2312" w:eastAsia="仿宋_GB2312"/>
                      <w:b w:val="0"/>
                      <w:bCs/>
                      <w:szCs w:val="21"/>
                      <w:lang w:val="en-US" w:eastAsia="zh-CN"/>
                    </w:rPr>
                    <w:t>儿童权利公约</w:t>
                  </w:r>
                </w:p>
              </w:tc>
            </w:tr>
            <w:tr w14:paraId="229663AF">
              <w:trPr>
                <w:trHeight w:val="355" w:hRule="atLeast"/>
              </w:trPr>
              <w:tc>
                <w:tcPr>
                  <w:tcW w:w="1838" w:type="dxa"/>
                  <w:shd w:val="clear" w:color="auto" w:fill="auto"/>
                  <w:tcMar>
                    <w:top w:w="54" w:type="dxa"/>
                    <w:left w:w="108" w:type="dxa"/>
                    <w:bottom w:w="54" w:type="dxa"/>
                    <w:right w:w="108" w:type="dxa"/>
                  </w:tcMar>
                </w:tcPr>
                <w:p w14:paraId="3F876C59">
                  <w:pPr>
                    <w:widowControl/>
                    <w:jc w:val="center"/>
                    <w:rPr>
                      <w:rFonts w:ascii="Arial" w:hAnsi="Arial" w:eastAsia="宋体" w:cs="Arial"/>
                      <w:color w:val="000000" w:themeColor="text1"/>
                      <w:kern w:val="0"/>
                      <w:szCs w:val="36"/>
                      <w14:textFill>
                        <w14:solidFill>
                          <w14:schemeClr w14:val="tx1"/>
                        </w14:solidFill>
                      </w14:textFill>
                    </w:rPr>
                  </w:pPr>
                  <w:r>
                    <w:rPr>
                      <w:rFonts w:ascii="Arial" w:hAnsi="Arial" w:eastAsia="宋体" w:cs="Arial"/>
                      <w:bCs/>
                      <w:color w:val="000000" w:themeColor="text1"/>
                      <w:kern w:val="24"/>
                      <w:szCs w:val="36"/>
                      <w14:textFill>
                        <w14:solidFill>
                          <w14:schemeClr w14:val="tx1"/>
                        </w14:solidFill>
                      </w14:textFill>
                    </w:rPr>
                    <w:t>学情分析</w:t>
                  </w:r>
                </w:p>
              </w:tc>
              <w:tc>
                <w:tcPr>
                  <w:tcW w:w="6243" w:type="dxa"/>
                  <w:shd w:val="clear" w:color="auto" w:fill="auto"/>
                  <w:tcMar>
                    <w:top w:w="54" w:type="dxa"/>
                    <w:left w:w="108" w:type="dxa"/>
                    <w:bottom w:w="54" w:type="dxa"/>
                    <w:right w:w="108" w:type="dxa"/>
                  </w:tcMar>
                </w:tcPr>
                <w:p w14:paraId="403AA8EC">
                  <w:pPr>
                    <w:numPr>
                      <w:ilvl w:val="0"/>
                      <w:numId w:val="0"/>
                    </w:numPr>
                    <w:ind w:left="-50" w:leftChars="0" w:right="-50" w:rightChars="0" w:firstLine="480" w:firstLineChars="200"/>
                    <w:jc w:val="left"/>
                    <w:rPr>
                      <w:rFonts w:ascii="Arial" w:hAnsi="Arial" w:eastAsia="宋体" w:cs="Arial"/>
                      <w:color w:val="000000" w:themeColor="text1"/>
                      <w:kern w:val="0"/>
                      <w:szCs w:val="36"/>
                      <w14:textFill>
                        <w14:solidFill>
                          <w14:schemeClr w14:val="tx1"/>
                        </w14:solidFill>
                      </w14:textFill>
                    </w:rPr>
                  </w:pPr>
                  <w:r>
                    <w:rPr>
                      <w:rFonts w:hint="eastAsia" w:ascii="仿宋_GB2312" w:eastAsia="仿宋_GB2312"/>
                      <w:b w:val="0"/>
                      <w:bCs/>
                      <w:szCs w:val="21"/>
                      <w:lang w:val="en-US" w:eastAsia="zh-CN"/>
                    </w:rPr>
                    <w:t>该课程是学前教育专业大三第一学期的专业选修课程。首先，学生在修读该课前已修读了学前教育学等课程，具备了学前教育学的理论基础。其次，在学习本次知识之前，学生已学过学前教育政策与法规的内涵、意义、类型等基础知识，为完成本课程学习提供了保障。</w:t>
                  </w:r>
                </w:p>
              </w:tc>
            </w:tr>
            <w:tr w14:paraId="18591947">
              <w:trPr>
                <w:trHeight w:val="355" w:hRule="atLeast"/>
              </w:trPr>
              <w:tc>
                <w:tcPr>
                  <w:tcW w:w="1838" w:type="dxa"/>
                  <w:shd w:val="clear" w:color="auto" w:fill="auto"/>
                  <w:tcMar>
                    <w:top w:w="54" w:type="dxa"/>
                    <w:left w:w="108" w:type="dxa"/>
                    <w:bottom w:w="54" w:type="dxa"/>
                    <w:right w:w="108" w:type="dxa"/>
                  </w:tcMar>
                </w:tcPr>
                <w:p w14:paraId="173FD6E1">
                  <w:pPr>
                    <w:widowControl/>
                    <w:jc w:val="center"/>
                    <w:rPr>
                      <w:rFonts w:ascii="Arial" w:hAnsi="Arial" w:eastAsia="宋体" w:cs="Arial"/>
                      <w:color w:val="000000" w:themeColor="text1"/>
                      <w:kern w:val="0"/>
                      <w:szCs w:val="36"/>
                      <w14:textFill>
                        <w14:solidFill>
                          <w14:schemeClr w14:val="tx1"/>
                        </w14:solidFill>
                      </w14:textFill>
                    </w:rPr>
                  </w:pPr>
                  <w:r>
                    <w:rPr>
                      <w:rFonts w:ascii="Arial" w:hAnsi="Arial" w:eastAsia="宋体" w:cs="Arial"/>
                      <w:bCs/>
                      <w:color w:val="000000" w:themeColor="text1"/>
                      <w:kern w:val="24"/>
                      <w:szCs w:val="36"/>
                      <w14:textFill>
                        <w14:solidFill>
                          <w14:schemeClr w14:val="tx1"/>
                        </w14:solidFill>
                      </w14:textFill>
                    </w:rPr>
                    <w:t>教学目标</w:t>
                  </w:r>
                </w:p>
              </w:tc>
              <w:tc>
                <w:tcPr>
                  <w:tcW w:w="6243" w:type="dxa"/>
                  <w:shd w:val="clear" w:color="auto" w:fill="auto"/>
                  <w:tcMar>
                    <w:top w:w="54" w:type="dxa"/>
                    <w:left w:w="108" w:type="dxa"/>
                    <w:bottom w:w="54" w:type="dxa"/>
                    <w:right w:w="108" w:type="dxa"/>
                  </w:tcMar>
                </w:tcPr>
                <w:p w14:paraId="038A028C">
                  <w:pPr>
                    <w:adjustRightInd w:val="0"/>
                    <w:snapToGrid w:val="0"/>
                    <w:ind w:right="-50"/>
                    <w:rPr>
                      <w:rFonts w:hint="eastAsia" w:ascii="仿宋_GB2312" w:hAnsi="宋体" w:eastAsia="仿宋_GB2312"/>
                      <w:bCs/>
                      <w:sz w:val="22"/>
                    </w:rPr>
                  </w:pPr>
                  <w:r>
                    <w:rPr>
                      <w:rFonts w:hint="eastAsia" w:ascii="仿宋_GB2312" w:hAnsi="宋体" w:eastAsia="仿宋_GB2312"/>
                      <w:b/>
                      <w:bCs w:val="0"/>
                      <w:sz w:val="22"/>
                    </w:rPr>
                    <w:t>知识目标：</w:t>
                  </w:r>
                  <w:r>
                    <w:rPr>
                      <w:rFonts w:hint="eastAsia" w:ascii="仿宋_GB2312" w:hAnsi="宋体" w:eastAsia="仿宋_GB2312"/>
                      <w:bCs/>
                      <w:sz w:val="22"/>
                    </w:rPr>
                    <w:t>1.理解《儿童权利公约》产生的背景。</w:t>
                  </w:r>
                </w:p>
                <w:p w14:paraId="04645EBA">
                  <w:pPr>
                    <w:adjustRightInd w:val="0"/>
                    <w:snapToGrid w:val="0"/>
                    <w:ind w:right="-50" w:firstLine="1100" w:firstLineChars="500"/>
                    <w:rPr>
                      <w:rFonts w:hint="eastAsia" w:ascii="仿宋_GB2312" w:hAnsi="宋体" w:eastAsia="仿宋_GB2312"/>
                      <w:bCs/>
                      <w:sz w:val="22"/>
                    </w:rPr>
                  </w:pPr>
                  <w:r>
                    <w:rPr>
                      <w:rFonts w:hint="eastAsia" w:ascii="仿宋_GB2312" w:hAnsi="宋体" w:eastAsia="仿宋_GB2312"/>
                      <w:bCs/>
                      <w:sz w:val="22"/>
                    </w:rPr>
                    <w:t>2</w:t>
                  </w:r>
                  <w:r>
                    <w:rPr>
                      <w:rFonts w:hint="eastAsia" w:ascii="仿宋_GB2312" w:hAnsi="宋体" w:eastAsia="仿宋_GB2312"/>
                      <w:bCs/>
                      <w:sz w:val="22"/>
                      <w:lang w:val="en-US" w:eastAsia="zh-CN"/>
                    </w:rPr>
                    <w:t>.</w:t>
                  </w:r>
                  <w:r>
                    <w:rPr>
                      <w:rFonts w:hint="eastAsia" w:ascii="仿宋_GB2312" w:hAnsi="宋体" w:eastAsia="仿宋_GB2312"/>
                      <w:bCs/>
                      <w:sz w:val="22"/>
                    </w:rPr>
                    <w:t>掌握《儿童权利公约》中的儿童最大利益原则。</w:t>
                  </w:r>
                </w:p>
                <w:p w14:paraId="1469697F">
                  <w:pPr>
                    <w:adjustRightInd w:val="0"/>
                    <w:snapToGrid w:val="0"/>
                    <w:ind w:left="-50" w:right="-50"/>
                    <w:rPr>
                      <w:rFonts w:hint="eastAsia" w:ascii="仿宋_GB2312" w:hAnsi="宋体" w:eastAsia="仿宋_GB2312"/>
                      <w:bCs/>
                      <w:sz w:val="22"/>
                    </w:rPr>
                  </w:pPr>
                  <w:r>
                    <w:rPr>
                      <w:rFonts w:hint="eastAsia" w:ascii="仿宋_GB2312" w:hAnsi="宋体" w:eastAsia="仿宋_GB2312"/>
                      <w:b/>
                      <w:bCs w:val="0"/>
                      <w:sz w:val="22"/>
                    </w:rPr>
                    <w:t>能力目标：</w:t>
                  </w:r>
                  <w:r>
                    <w:rPr>
                      <w:rFonts w:hint="eastAsia" w:ascii="仿宋_GB2312" w:hAnsi="宋体" w:eastAsia="仿宋_GB2312"/>
                      <w:bCs/>
                      <w:sz w:val="22"/>
                    </w:rPr>
                    <w:t>1.初步学会运用《儿童权利公约》中的儿童最大利益原则分析问题。</w:t>
                  </w:r>
                </w:p>
                <w:p w14:paraId="0B0C3EC6">
                  <w:pPr>
                    <w:adjustRightInd w:val="0"/>
                    <w:snapToGrid w:val="0"/>
                    <w:ind w:left="-50" w:right="-50"/>
                    <w:rPr>
                      <w:rFonts w:hint="default" w:ascii="仿宋_GB2312" w:hAnsi="宋体" w:eastAsia="仿宋_GB2312"/>
                      <w:bCs/>
                      <w:sz w:val="22"/>
                      <w:lang w:val="en-US" w:eastAsia="zh-CN"/>
                    </w:rPr>
                  </w:pPr>
                  <w:r>
                    <w:rPr>
                      <w:rFonts w:hint="eastAsia" w:ascii="方正仿宋_GB2312" w:hAnsi="方正仿宋_GB2312" w:eastAsia="方正仿宋_GB2312" w:cs="方正仿宋_GB2312"/>
                      <w:b/>
                      <w:bCs/>
                    </w:rPr>
                    <w:t>思政目标：</w:t>
                  </w:r>
                  <w:r>
                    <w:rPr>
                      <w:rFonts w:hint="eastAsia" w:ascii="仿宋_GB2312" w:hAnsi="宋体" w:eastAsia="仿宋_GB2312"/>
                      <w:bCs/>
                      <w:sz w:val="22"/>
                      <w:lang w:val="en-US" w:eastAsia="zh-CN"/>
                    </w:rPr>
                    <w:t>1.尊重儿童的权利，做幸福童年的守护者。</w:t>
                  </w:r>
                </w:p>
                <w:p w14:paraId="5B408D2C">
                  <w:pPr>
                    <w:adjustRightInd w:val="0"/>
                    <w:snapToGrid w:val="0"/>
                    <w:ind w:left="-50" w:right="-50" w:firstLine="1100" w:firstLineChars="500"/>
                    <w:rPr>
                      <w:rFonts w:hint="eastAsia" w:ascii="仿宋_GB2312" w:hAnsi="宋体" w:eastAsia="仿宋_GB2312"/>
                      <w:bCs/>
                      <w:sz w:val="22"/>
                      <w:lang w:val="en-US" w:eastAsia="zh-CN"/>
                    </w:rPr>
                  </w:pPr>
                  <w:r>
                    <w:rPr>
                      <w:rFonts w:hint="eastAsia" w:ascii="仿宋_GB2312" w:hAnsi="宋体" w:eastAsia="仿宋_GB2312"/>
                      <w:bCs/>
                      <w:sz w:val="22"/>
                      <w:lang w:val="en-US" w:eastAsia="zh-CN"/>
                    </w:rPr>
                    <w:t>2.关注儿童的权利，给予更多的倾听和尊重，要践行幼儿为本和爱与自由理念。</w:t>
                  </w:r>
                </w:p>
              </w:tc>
            </w:tr>
            <w:tr w14:paraId="47DFB7A8">
              <w:trPr>
                <w:trHeight w:val="355" w:hRule="atLeast"/>
              </w:trPr>
              <w:tc>
                <w:tcPr>
                  <w:tcW w:w="1838" w:type="dxa"/>
                  <w:shd w:val="clear" w:color="auto" w:fill="auto"/>
                  <w:tcMar>
                    <w:top w:w="54" w:type="dxa"/>
                    <w:left w:w="108" w:type="dxa"/>
                    <w:bottom w:w="54" w:type="dxa"/>
                    <w:right w:w="108" w:type="dxa"/>
                  </w:tcMar>
                </w:tcPr>
                <w:p w14:paraId="7A9068AA">
                  <w:pPr>
                    <w:widowControl/>
                    <w:jc w:val="center"/>
                    <w:rPr>
                      <w:rFonts w:ascii="Arial" w:hAnsi="Arial" w:eastAsia="宋体" w:cs="Arial"/>
                      <w:color w:val="000000" w:themeColor="text1"/>
                      <w:kern w:val="0"/>
                      <w:szCs w:val="36"/>
                      <w14:textFill>
                        <w14:solidFill>
                          <w14:schemeClr w14:val="tx1"/>
                        </w14:solidFill>
                      </w14:textFill>
                    </w:rPr>
                  </w:pPr>
                  <w:r>
                    <w:rPr>
                      <w:rFonts w:ascii="Arial" w:hAnsi="Arial" w:eastAsia="宋体" w:cs="Arial"/>
                      <w:bCs/>
                      <w:color w:val="000000" w:themeColor="text1"/>
                      <w:kern w:val="24"/>
                      <w:szCs w:val="36"/>
                      <w14:textFill>
                        <w14:solidFill>
                          <w14:schemeClr w14:val="tx1"/>
                        </w14:solidFill>
                      </w14:textFill>
                    </w:rPr>
                    <w:t>教学重难点</w:t>
                  </w:r>
                </w:p>
              </w:tc>
              <w:tc>
                <w:tcPr>
                  <w:tcW w:w="6243" w:type="dxa"/>
                  <w:shd w:val="clear" w:color="auto" w:fill="auto"/>
                  <w:tcMar>
                    <w:top w:w="54" w:type="dxa"/>
                    <w:left w:w="108" w:type="dxa"/>
                    <w:bottom w:w="54" w:type="dxa"/>
                    <w:right w:w="108" w:type="dxa"/>
                  </w:tcMar>
                </w:tcPr>
                <w:p w14:paraId="30D4797D">
                  <w:pPr>
                    <w:snapToGrid w:val="0"/>
                    <w:spacing w:line="288" w:lineRule="auto"/>
                    <w:ind w:right="26"/>
                    <w:rPr>
                      <w:rFonts w:hint="eastAsia" w:ascii="仿宋_GB2312" w:hAnsi="宋体" w:eastAsia="仿宋_GB2312"/>
                      <w:bCs/>
                      <w:sz w:val="22"/>
                      <w:lang w:val="en-US" w:eastAsia="zh-CN"/>
                    </w:rPr>
                  </w:pPr>
                  <w:r>
                    <w:rPr>
                      <w:rFonts w:hint="eastAsia" w:ascii="仿宋_GB2312" w:eastAsia="仿宋_GB2312"/>
                      <w:bCs/>
                      <w:sz w:val="22"/>
                    </w:rPr>
                    <w:t>重</w:t>
                  </w:r>
                  <w:r>
                    <w:rPr>
                      <w:rFonts w:hint="eastAsia" w:ascii="仿宋_GB2312" w:eastAsia="仿宋_GB2312"/>
                      <w:bCs/>
                      <w:sz w:val="22"/>
                      <w:lang w:val="en-US" w:eastAsia="zh-CN"/>
                    </w:rPr>
                    <w:t>难</w:t>
                  </w:r>
                  <w:r>
                    <w:rPr>
                      <w:rFonts w:hint="eastAsia" w:ascii="仿宋_GB2312" w:eastAsia="仿宋_GB2312"/>
                      <w:bCs/>
                      <w:sz w:val="22"/>
                    </w:rPr>
                    <w:t>点：《儿童权利公约》</w:t>
                  </w:r>
                  <w:r>
                    <w:rPr>
                      <w:rFonts w:hint="eastAsia" w:ascii="仿宋_GB2312" w:hAnsi="宋体" w:eastAsia="仿宋_GB2312"/>
                      <w:bCs/>
                      <w:sz w:val="22"/>
                    </w:rPr>
                    <w:t>中的儿童最大利益原则</w:t>
                  </w:r>
                  <w:r>
                    <w:rPr>
                      <w:rFonts w:hint="eastAsia" w:ascii="仿宋_GB2312" w:hAnsi="宋体" w:eastAsia="仿宋_GB2312"/>
                      <w:bCs/>
                      <w:sz w:val="22"/>
                      <w:lang w:val="en-US" w:eastAsia="zh-CN"/>
                    </w:rPr>
                    <w:t>的掌握。</w:t>
                  </w:r>
                </w:p>
              </w:tc>
            </w:tr>
            <w:tr w14:paraId="548C4A33">
              <w:trPr>
                <w:trHeight w:val="355" w:hRule="atLeast"/>
              </w:trPr>
              <w:tc>
                <w:tcPr>
                  <w:tcW w:w="1838" w:type="dxa"/>
                  <w:shd w:val="clear" w:color="auto" w:fill="auto"/>
                  <w:tcMar>
                    <w:top w:w="54" w:type="dxa"/>
                    <w:left w:w="108" w:type="dxa"/>
                    <w:bottom w:w="54" w:type="dxa"/>
                    <w:right w:w="108" w:type="dxa"/>
                  </w:tcMar>
                </w:tcPr>
                <w:p w14:paraId="7281D79A">
                  <w:pPr>
                    <w:widowControl/>
                    <w:jc w:val="center"/>
                    <w:rPr>
                      <w:rFonts w:ascii="Arial" w:hAnsi="Arial" w:eastAsia="宋体" w:cs="Arial"/>
                      <w:color w:val="000000" w:themeColor="text1"/>
                      <w:kern w:val="0"/>
                      <w:szCs w:val="36"/>
                      <w14:textFill>
                        <w14:solidFill>
                          <w14:schemeClr w14:val="tx1"/>
                        </w14:solidFill>
                      </w14:textFill>
                    </w:rPr>
                  </w:pPr>
                  <w:r>
                    <w:rPr>
                      <w:rFonts w:hint="eastAsia" w:ascii="Arial" w:hAnsi="Arial" w:eastAsia="宋体" w:cs="Arial"/>
                      <w:bCs/>
                      <w:color w:val="000000" w:themeColor="text1"/>
                      <w:kern w:val="24"/>
                      <w:szCs w:val="36"/>
                      <w14:textFill>
                        <w14:solidFill>
                          <w14:schemeClr w14:val="tx1"/>
                        </w14:solidFill>
                      </w14:textFill>
                    </w:rPr>
                    <w:t>教学设计思路</w:t>
                  </w:r>
                </w:p>
              </w:tc>
              <w:tc>
                <w:tcPr>
                  <w:tcW w:w="6243" w:type="dxa"/>
                  <w:shd w:val="clear" w:color="auto" w:fill="auto"/>
                  <w:tcMar>
                    <w:top w:w="54" w:type="dxa"/>
                    <w:left w:w="108" w:type="dxa"/>
                    <w:bottom w:w="54" w:type="dxa"/>
                    <w:right w:w="108" w:type="dxa"/>
                  </w:tcMar>
                </w:tcPr>
                <w:p w14:paraId="366693B8">
                  <w:pPr>
                    <w:widowControl/>
                    <w:numPr>
                      <w:ilvl w:val="0"/>
                      <w:numId w:val="0"/>
                    </w:numPr>
                    <w:jc w:val="left"/>
                    <w:rPr>
                      <w:rFonts w:hint="eastAsia" w:ascii="仿宋_GB2312" w:hAnsi="宋体" w:eastAsia="仿宋_GB2312"/>
                      <w:bCs/>
                      <w:sz w:val="22"/>
                      <w:lang w:val="en-US" w:eastAsia="zh-CN"/>
                    </w:rPr>
                  </w:pPr>
                  <w:r>
                    <w:rPr>
                      <w:rFonts w:hint="eastAsia" w:ascii="仿宋_GB2312" w:hAnsi="宋体" w:eastAsia="仿宋_GB2312" w:cstheme="minorBidi"/>
                      <w:bCs/>
                      <w:kern w:val="2"/>
                      <w:sz w:val="22"/>
                      <w:szCs w:val="22"/>
                      <w:lang w:val="en-US" w:eastAsia="zh-CN" w:bidi="ar-SA"/>
                    </w:rPr>
                    <w:t>1.</w:t>
                  </w:r>
                  <w:r>
                    <w:rPr>
                      <w:rFonts w:hint="eastAsia" w:ascii="仿宋_GB2312" w:hAnsi="宋体" w:eastAsia="仿宋_GB2312"/>
                      <w:bCs/>
                      <w:sz w:val="22"/>
                      <w:lang w:val="en-US" w:eastAsia="zh-CN"/>
                    </w:rPr>
                    <w:t>课堂活动导入；</w:t>
                  </w:r>
                </w:p>
                <w:p w14:paraId="5061C315">
                  <w:pPr>
                    <w:widowControl/>
                    <w:numPr>
                      <w:ilvl w:val="0"/>
                      <w:numId w:val="0"/>
                    </w:numPr>
                    <w:jc w:val="left"/>
                    <w:rPr>
                      <w:rFonts w:hint="eastAsia" w:ascii="仿宋_GB2312" w:hAnsi="宋体" w:eastAsia="仿宋_GB2312"/>
                      <w:bCs/>
                      <w:sz w:val="22"/>
                      <w:lang w:val="en-US" w:eastAsia="zh-CN"/>
                    </w:rPr>
                  </w:pPr>
                  <w:r>
                    <w:rPr>
                      <w:rFonts w:hint="eastAsia" w:ascii="仿宋_GB2312" w:hAnsi="宋体" w:eastAsia="仿宋_GB2312" w:cstheme="minorBidi"/>
                      <w:bCs/>
                      <w:kern w:val="2"/>
                      <w:sz w:val="22"/>
                      <w:szCs w:val="22"/>
                      <w:lang w:val="en-US" w:eastAsia="zh-CN" w:bidi="ar-SA"/>
                    </w:rPr>
                    <w:t>2.</w:t>
                  </w:r>
                  <w:r>
                    <w:rPr>
                      <w:rFonts w:hint="eastAsia" w:ascii="仿宋_GB2312" w:hAnsi="宋体" w:eastAsia="仿宋_GB2312"/>
                      <w:bCs/>
                      <w:sz w:val="22"/>
                      <w:lang w:val="en-US" w:eastAsia="zh-CN"/>
                    </w:rPr>
                    <w:t>案例分享讨论；</w:t>
                  </w:r>
                </w:p>
                <w:p w14:paraId="202AA955">
                  <w:pPr>
                    <w:widowControl/>
                    <w:numPr>
                      <w:ilvl w:val="0"/>
                      <w:numId w:val="0"/>
                    </w:numPr>
                    <w:jc w:val="left"/>
                    <w:rPr>
                      <w:rFonts w:hint="eastAsia" w:ascii="仿宋_GB2312" w:hAnsi="宋体" w:eastAsia="仿宋_GB2312"/>
                      <w:bCs/>
                      <w:sz w:val="22"/>
                      <w:lang w:val="en-US" w:eastAsia="zh-CN"/>
                    </w:rPr>
                  </w:pPr>
                  <w:r>
                    <w:rPr>
                      <w:rFonts w:hint="eastAsia" w:ascii="仿宋_GB2312" w:hAnsi="宋体" w:eastAsia="仿宋_GB2312" w:cstheme="minorBidi"/>
                      <w:bCs/>
                      <w:kern w:val="2"/>
                      <w:sz w:val="22"/>
                      <w:szCs w:val="22"/>
                      <w:lang w:val="en-US" w:eastAsia="zh-CN" w:bidi="ar-SA"/>
                    </w:rPr>
                    <w:t>3.</w:t>
                  </w:r>
                  <w:r>
                    <w:rPr>
                      <w:rFonts w:hint="eastAsia" w:ascii="仿宋_GB2312" w:hAnsi="宋体" w:eastAsia="仿宋_GB2312"/>
                      <w:bCs/>
                      <w:sz w:val="22"/>
                      <w:lang w:val="en-US" w:eastAsia="zh-CN"/>
                    </w:rPr>
                    <w:t>理论知识讲授；</w:t>
                  </w:r>
                </w:p>
                <w:p w14:paraId="59C9FCB2">
                  <w:pPr>
                    <w:widowControl/>
                    <w:numPr>
                      <w:ilvl w:val="0"/>
                      <w:numId w:val="0"/>
                    </w:numPr>
                    <w:jc w:val="left"/>
                    <w:rPr>
                      <w:rFonts w:hint="eastAsia" w:ascii="仿宋_GB2312" w:hAnsi="宋体" w:eastAsia="仿宋_GB2312"/>
                      <w:bCs/>
                      <w:sz w:val="22"/>
                      <w:lang w:val="en-US" w:eastAsia="zh-CN"/>
                    </w:rPr>
                  </w:pPr>
                  <w:r>
                    <w:rPr>
                      <w:rFonts w:hint="eastAsia" w:ascii="仿宋_GB2312" w:hAnsi="宋体" w:eastAsia="仿宋_GB2312" w:cstheme="minorBidi"/>
                      <w:bCs/>
                      <w:kern w:val="2"/>
                      <w:sz w:val="22"/>
                      <w:szCs w:val="22"/>
                      <w:lang w:val="en-US" w:eastAsia="zh-CN" w:bidi="ar-SA"/>
                    </w:rPr>
                    <w:t>4.</w:t>
                  </w:r>
                  <w:r>
                    <w:rPr>
                      <w:rFonts w:hint="eastAsia" w:ascii="仿宋_GB2312" w:hAnsi="宋体" w:eastAsia="仿宋_GB2312"/>
                      <w:bCs/>
                      <w:sz w:val="22"/>
                      <w:lang w:val="en-US" w:eastAsia="zh-CN"/>
                    </w:rPr>
                    <w:t>课堂小结；</w:t>
                  </w:r>
                </w:p>
                <w:p w14:paraId="186212AC">
                  <w:pPr>
                    <w:widowControl/>
                    <w:numPr>
                      <w:ilvl w:val="0"/>
                      <w:numId w:val="0"/>
                    </w:numPr>
                    <w:jc w:val="left"/>
                    <w:rPr>
                      <w:rFonts w:hint="eastAsia" w:ascii="仿宋_GB2312" w:hAnsi="宋体" w:eastAsia="仿宋_GB2312"/>
                      <w:bCs/>
                      <w:sz w:val="22"/>
                      <w:lang w:val="en-US" w:eastAsia="zh-CN"/>
                    </w:rPr>
                  </w:pPr>
                  <w:r>
                    <w:rPr>
                      <w:rFonts w:hint="eastAsia" w:ascii="仿宋_GB2312" w:hAnsi="宋体" w:eastAsia="仿宋_GB2312" w:cstheme="minorBidi"/>
                      <w:bCs/>
                      <w:kern w:val="2"/>
                      <w:sz w:val="22"/>
                      <w:szCs w:val="22"/>
                      <w:lang w:val="en-US" w:eastAsia="zh-CN" w:bidi="ar-SA"/>
                    </w:rPr>
                    <w:t>5.</w:t>
                  </w:r>
                  <w:r>
                    <w:rPr>
                      <w:rFonts w:hint="eastAsia" w:ascii="仿宋_GB2312" w:hAnsi="宋体" w:eastAsia="仿宋_GB2312"/>
                      <w:bCs/>
                      <w:sz w:val="22"/>
                      <w:lang w:val="en-US" w:eastAsia="zh-CN"/>
                    </w:rPr>
                    <w:t>布置作业</w:t>
                  </w:r>
                </w:p>
                <w:p w14:paraId="00E8B92A">
                  <w:pPr>
                    <w:widowControl/>
                    <w:numPr>
                      <w:ilvl w:val="0"/>
                      <w:numId w:val="0"/>
                    </w:numPr>
                    <w:jc w:val="left"/>
                    <w:rPr>
                      <w:rFonts w:hint="default" w:ascii="仿宋_GB2312" w:hAnsi="宋体" w:eastAsia="仿宋_GB2312"/>
                      <w:bCs/>
                      <w:sz w:val="22"/>
                      <w:lang w:val="en-US" w:eastAsia="zh-CN"/>
                    </w:rPr>
                  </w:pPr>
                </w:p>
              </w:tc>
            </w:tr>
            <w:tr w14:paraId="7F7530AD">
              <w:trPr>
                <w:trHeight w:val="355" w:hRule="atLeast"/>
              </w:trPr>
              <w:tc>
                <w:tcPr>
                  <w:tcW w:w="1838" w:type="dxa"/>
                  <w:shd w:val="clear" w:color="auto" w:fill="auto"/>
                  <w:tcMar>
                    <w:top w:w="54" w:type="dxa"/>
                    <w:left w:w="108" w:type="dxa"/>
                    <w:bottom w:w="54" w:type="dxa"/>
                    <w:right w:w="108" w:type="dxa"/>
                  </w:tcMar>
                </w:tcPr>
                <w:p w14:paraId="78900351">
                  <w:pPr>
                    <w:widowControl/>
                    <w:jc w:val="center"/>
                    <w:rPr>
                      <w:rFonts w:hint="default" w:ascii="Arial" w:hAnsi="Arial" w:eastAsia="宋体" w:cs="Arial"/>
                      <w:bCs/>
                      <w:color w:val="000000" w:themeColor="text1"/>
                      <w:kern w:val="24"/>
                      <w:szCs w:val="36"/>
                      <w:lang w:val="en-US" w:eastAsia="zh-CN"/>
                      <w14:textFill>
                        <w14:solidFill>
                          <w14:schemeClr w14:val="tx1"/>
                        </w14:solidFill>
                      </w14:textFill>
                    </w:rPr>
                  </w:pPr>
                  <w:r>
                    <w:rPr>
                      <w:rFonts w:hint="eastAsia" w:ascii="Arial" w:hAnsi="Arial" w:eastAsia="宋体" w:cs="Arial"/>
                      <w:bCs/>
                      <w:color w:val="000000" w:themeColor="text1"/>
                      <w:kern w:val="24"/>
                      <w:szCs w:val="36"/>
                      <w:lang w:val="en-US" w:eastAsia="zh-CN"/>
                      <w14:textFill>
                        <w14:solidFill>
                          <w14:schemeClr w14:val="tx1"/>
                        </w14:solidFill>
                      </w14:textFill>
                    </w:rPr>
                    <w:t>教学方法</w:t>
                  </w:r>
                </w:p>
              </w:tc>
              <w:tc>
                <w:tcPr>
                  <w:tcW w:w="6243" w:type="dxa"/>
                  <w:shd w:val="clear" w:color="auto" w:fill="auto"/>
                  <w:tcMar>
                    <w:top w:w="54" w:type="dxa"/>
                    <w:left w:w="108" w:type="dxa"/>
                    <w:bottom w:w="54" w:type="dxa"/>
                    <w:right w:w="108" w:type="dxa"/>
                  </w:tcMar>
                </w:tcPr>
                <w:p w14:paraId="14167835">
                  <w:pPr>
                    <w:widowControl/>
                    <w:jc w:val="left"/>
                    <w:rPr>
                      <w:rFonts w:hint="default" w:ascii="Arial" w:hAnsi="Arial" w:eastAsia="宋体" w:cs="Arial"/>
                      <w:color w:val="000000" w:themeColor="text1"/>
                      <w:kern w:val="0"/>
                      <w:szCs w:val="36"/>
                      <w:lang w:val="en-US" w:eastAsia="zh-CN"/>
                      <w14:textFill>
                        <w14:solidFill>
                          <w14:schemeClr w14:val="tx1"/>
                        </w14:solidFill>
                      </w14:textFill>
                    </w:rPr>
                  </w:pPr>
                  <w:r>
                    <w:rPr>
                      <w:rFonts w:hint="eastAsia" w:ascii="Arial" w:hAnsi="Arial" w:eastAsia="宋体" w:cs="Arial"/>
                      <w:color w:val="000000" w:themeColor="text1"/>
                      <w:kern w:val="0"/>
                      <w:szCs w:val="36"/>
                      <w:lang w:val="en-US" w:eastAsia="zh-CN"/>
                      <w14:textFill>
                        <w14:solidFill>
                          <w14:schemeClr w14:val="tx1"/>
                        </w14:solidFill>
                      </w14:textFill>
                    </w:rPr>
                    <w:t>讲授法、案例分析法、讨论法</w:t>
                  </w:r>
                </w:p>
              </w:tc>
            </w:tr>
            <w:tr w14:paraId="7D54F236">
              <w:trPr>
                <w:trHeight w:val="355" w:hRule="atLeast"/>
              </w:trPr>
              <w:tc>
                <w:tcPr>
                  <w:tcW w:w="1838" w:type="dxa"/>
                  <w:shd w:val="clear" w:color="auto" w:fill="auto"/>
                  <w:tcMar>
                    <w:top w:w="54" w:type="dxa"/>
                    <w:left w:w="108" w:type="dxa"/>
                    <w:bottom w:w="54" w:type="dxa"/>
                    <w:right w:w="108" w:type="dxa"/>
                  </w:tcMar>
                </w:tcPr>
                <w:p w14:paraId="6FC211C6">
                  <w:pPr>
                    <w:widowControl/>
                    <w:jc w:val="center"/>
                    <w:rPr>
                      <w:rFonts w:hint="default" w:ascii="Arial" w:hAnsi="Arial" w:eastAsia="宋体" w:cs="Arial"/>
                      <w:bCs/>
                      <w:color w:val="000000" w:themeColor="text1"/>
                      <w:kern w:val="24"/>
                      <w:szCs w:val="36"/>
                      <w:lang w:val="en-US" w:eastAsia="zh-CN"/>
                      <w14:textFill>
                        <w14:solidFill>
                          <w14:schemeClr w14:val="tx1"/>
                        </w14:solidFill>
                      </w14:textFill>
                    </w:rPr>
                  </w:pPr>
                  <w:r>
                    <w:rPr>
                      <w:rFonts w:hint="eastAsia" w:ascii="Arial" w:hAnsi="Arial" w:eastAsia="宋体" w:cs="Arial"/>
                      <w:bCs/>
                      <w:color w:val="000000" w:themeColor="text1"/>
                      <w:kern w:val="24"/>
                      <w:szCs w:val="36"/>
                      <w:lang w:val="en-US" w:eastAsia="zh-CN"/>
                      <w14:textFill>
                        <w14:solidFill>
                          <w14:schemeClr w14:val="tx1"/>
                        </w14:solidFill>
                      </w14:textFill>
                    </w:rPr>
                    <w:t>教学工具</w:t>
                  </w:r>
                </w:p>
              </w:tc>
              <w:tc>
                <w:tcPr>
                  <w:tcW w:w="6243" w:type="dxa"/>
                  <w:shd w:val="clear" w:color="auto" w:fill="auto"/>
                  <w:tcMar>
                    <w:top w:w="54" w:type="dxa"/>
                    <w:left w:w="108" w:type="dxa"/>
                    <w:bottom w:w="54" w:type="dxa"/>
                    <w:right w:w="108" w:type="dxa"/>
                  </w:tcMar>
                </w:tcPr>
                <w:p w14:paraId="783A602B">
                  <w:pPr>
                    <w:widowControl/>
                    <w:jc w:val="left"/>
                    <w:rPr>
                      <w:rFonts w:hint="default" w:ascii="Arial" w:hAnsi="Arial" w:eastAsia="宋体" w:cs="Arial"/>
                      <w:color w:val="000000" w:themeColor="text1"/>
                      <w:kern w:val="0"/>
                      <w:szCs w:val="36"/>
                      <w:lang w:val="en-US" w:eastAsia="zh-CN"/>
                      <w14:textFill>
                        <w14:solidFill>
                          <w14:schemeClr w14:val="tx1"/>
                        </w14:solidFill>
                      </w14:textFill>
                    </w:rPr>
                  </w:pPr>
                  <w:r>
                    <w:rPr>
                      <w:rFonts w:hint="eastAsia" w:ascii="Arial" w:hAnsi="Arial" w:eastAsia="宋体" w:cs="Arial"/>
                      <w:color w:val="000000" w:themeColor="text1"/>
                      <w:kern w:val="0"/>
                      <w:szCs w:val="36"/>
                      <w:lang w:val="en-US" w:eastAsia="zh-CN"/>
                      <w14:textFill>
                        <w14:solidFill>
                          <w14:schemeClr w14:val="tx1"/>
                        </w14:solidFill>
                      </w14:textFill>
                    </w:rPr>
                    <w:t>多媒体设备、翻页笔、教学PPT</w:t>
                  </w:r>
                </w:p>
              </w:tc>
            </w:tr>
            <w:tr w14:paraId="238E36B4">
              <w:trPr>
                <w:trHeight w:val="355" w:hRule="atLeast"/>
              </w:trPr>
              <w:tc>
                <w:tcPr>
                  <w:tcW w:w="1838" w:type="dxa"/>
                  <w:shd w:val="clear" w:color="auto" w:fill="auto"/>
                  <w:tcMar>
                    <w:top w:w="54" w:type="dxa"/>
                    <w:left w:w="108" w:type="dxa"/>
                    <w:bottom w:w="54" w:type="dxa"/>
                    <w:right w:w="108" w:type="dxa"/>
                  </w:tcMar>
                </w:tcPr>
                <w:p w14:paraId="58E2C055">
                  <w:pPr>
                    <w:widowControl/>
                    <w:jc w:val="center"/>
                    <w:rPr>
                      <w:rFonts w:hint="eastAsia" w:ascii="Arial" w:hAnsi="Arial" w:eastAsia="宋体" w:cs="Arial"/>
                      <w:bCs/>
                      <w:color w:val="000000" w:themeColor="text1"/>
                      <w:kern w:val="24"/>
                      <w:szCs w:val="36"/>
                      <w:lang w:val="en-US" w:eastAsia="zh-CN"/>
                      <w14:textFill>
                        <w14:solidFill>
                          <w14:schemeClr w14:val="tx1"/>
                        </w14:solidFill>
                      </w14:textFill>
                    </w:rPr>
                  </w:pPr>
                  <w:r>
                    <w:rPr>
                      <w:rFonts w:ascii="Arial" w:hAnsi="Arial" w:eastAsia="宋体" w:cs="Arial"/>
                      <w:bCs/>
                      <w:color w:val="000000" w:themeColor="text1"/>
                      <w:kern w:val="24"/>
                      <w:szCs w:val="36"/>
                      <w14:textFill>
                        <w14:solidFill>
                          <w14:schemeClr w14:val="tx1"/>
                        </w14:solidFill>
                      </w14:textFill>
                    </w:rPr>
                    <w:t>教学过程</w:t>
                  </w:r>
                </w:p>
              </w:tc>
              <w:tc>
                <w:tcPr>
                  <w:tcW w:w="6243" w:type="dxa"/>
                  <w:shd w:val="clear" w:color="auto" w:fill="auto"/>
                  <w:tcMar>
                    <w:top w:w="54" w:type="dxa"/>
                    <w:left w:w="108" w:type="dxa"/>
                    <w:bottom w:w="54" w:type="dxa"/>
                    <w:right w:w="108" w:type="dxa"/>
                  </w:tcMar>
                </w:tcPr>
                <w:p w14:paraId="2E4BD802">
                  <w:pPr>
                    <w:widowControl/>
                    <w:jc w:val="left"/>
                    <w:rPr>
                      <w:rFonts w:hint="eastAsia" w:ascii="Arial" w:hAnsi="Arial" w:eastAsia="宋体" w:cs="Arial"/>
                      <w:color w:val="000000" w:themeColor="text1"/>
                      <w:kern w:val="0"/>
                      <w:szCs w:val="36"/>
                      <w:lang w:val="en-US" w:eastAsia="zh-CN"/>
                      <w14:textFill>
                        <w14:solidFill>
                          <w14:schemeClr w14:val="tx1"/>
                        </w14:solidFill>
                      </w14:textFill>
                    </w:rPr>
                  </w:pPr>
                  <w:r>
                    <w:rPr>
                      <w:rFonts w:hint="eastAsia" w:ascii="Arial" w:hAnsi="Arial" w:eastAsia="宋体" w:cs="Arial"/>
                      <w:color w:val="000000" w:themeColor="text1"/>
                      <w:kern w:val="0"/>
                      <w:szCs w:val="36"/>
                      <w:lang w:val="en-US" w:eastAsia="zh-CN"/>
                      <w14:textFill>
                        <w14:solidFill>
                          <w14:schemeClr w14:val="tx1"/>
                        </w14:solidFill>
                      </w14:textFill>
                    </w:rPr>
                    <w:t>见附页</w:t>
                  </w:r>
                </w:p>
              </w:tc>
            </w:tr>
          </w:tbl>
          <w:p w14:paraId="18AAC828">
            <w:pPr>
              <w:widowControl w:val="0"/>
              <w:jc w:val="both"/>
              <w:rPr>
                <w:rFonts w:hint="eastAsia"/>
              </w:rPr>
            </w:pPr>
            <w:r>
              <w:rPr>
                <w:rFonts w:hint="eastAsia"/>
              </w:rPr>
              <w:br w:type="page"/>
            </w:r>
          </w:p>
          <w:p w14:paraId="0D9666B4">
            <w:pPr>
              <w:widowControl w:val="0"/>
              <w:jc w:val="both"/>
              <w:rPr>
                <w:rFonts w:hint="eastAsia"/>
                <w:lang w:val="en-US" w:eastAsia="zh-CN"/>
              </w:rPr>
            </w:pPr>
            <w:r>
              <w:rPr>
                <w:rFonts w:hint="eastAsia"/>
                <w:lang w:val="en-US" w:eastAsia="zh-CN"/>
              </w:rPr>
              <w:t>附页</w:t>
            </w:r>
          </w:p>
          <w:p w14:paraId="566EE363">
            <w:pPr>
              <w:widowControl w:val="0"/>
              <w:jc w:val="center"/>
              <w:rPr>
                <w:rFonts w:hint="eastAsia" w:ascii="宋体" w:hAnsi="宋体" w:eastAsia="宋体" w:cs="宋体"/>
                <w:sz w:val="32"/>
                <w:szCs w:val="36"/>
                <w:lang w:val="en-US" w:eastAsia="zh-CN"/>
              </w:rPr>
            </w:pPr>
            <w:r>
              <w:rPr>
                <w:rFonts w:hint="eastAsia" w:ascii="宋体" w:hAnsi="宋体" w:eastAsia="宋体" w:cs="宋体"/>
                <w:sz w:val="32"/>
                <w:szCs w:val="36"/>
                <w:lang w:val="en-US" w:eastAsia="zh-CN"/>
              </w:rPr>
              <w:t>教学过程</w:t>
            </w:r>
          </w:p>
          <w:p w14:paraId="58F1D4B9">
            <w:pPr>
              <w:widowControl w:val="0"/>
              <w:jc w:val="center"/>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环节一：导入新课</w:t>
            </w:r>
          </w:p>
          <w:p w14:paraId="0A78B4CB">
            <w:pPr>
              <w:pStyle w:val="15"/>
              <w:widowControl w:val="0"/>
              <w:numPr>
                <w:ilvl w:val="0"/>
                <w:numId w:val="0"/>
              </w:numPr>
              <w:ind w:left="-50" w:leftChars="0" w:right="-50" w:rightChars="0"/>
              <w:jc w:val="both"/>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【教师活动】</w:t>
            </w:r>
          </w:p>
          <w:p w14:paraId="6ABB1C21">
            <w:pPr>
              <w:pStyle w:val="15"/>
              <w:widowControl w:val="0"/>
              <w:numPr>
                <w:ilvl w:val="0"/>
                <w:numId w:val="0"/>
              </w:numPr>
              <w:ind w:right="-50" w:rightChars="0"/>
              <w:jc w:val="center"/>
              <w:rPr>
                <w:rFonts w:hint="eastAsia" w:ascii="仿宋_GB2312" w:hAnsi="宋体" w:eastAsia="仿宋_GB2312"/>
                <w:b/>
                <w:szCs w:val="21"/>
                <w:lang w:val="en-US" w:eastAsia="zh-CN"/>
              </w:rPr>
            </w:pPr>
            <w:r>
              <w:rPr>
                <w:rFonts w:hint="eastAsia" w:ascii="仿宋_GB2312" w:hAnsi="宋体" w:eastAsia="仿宋_GB2312"/>
                <w:b/>
                <w:szCs w:val="21"/>
                <w:lang w:val="en-US" w:eastAsia="zh-CN"/>
              </w:rPr>
              <w:t>导入《点亮儿童的未来》</w:t>
            </w:r>
          </w:p>
          <w:p w14:paraId="45FF61FE">
            <w:pPr>
              <w:pStyle w:val="15"/>
              <w:widowControl w:val="0"/>
              <w:numPr>
                <w:ilvl w:val="0"/>
                <w:numId w:val="0"/>
              </w:numPr>
              <w:ind w:right="-50" w:rightChars="0" w:firstLine="480" w:firstLineChars="200"/>
              <w:jc w:val="both"/>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2019年的世界儿童日具有特殊意义，因为这一天也是《儿童权利公约》获得通过的30周年纪念日。在11月20日当天，中国 11 个城市举办了“点亮儿童未来”主题宣传活动，北京场发布了由中国儿童代表参与修订的儿童版联合国《儿童权利公约》。始于 1954 年的世界儿童日是联合国儿童基金会为儿童而设立的全球行动日，也是充分体现儿童参与的节日。世界儿童日这天，世界各地共同为儿童事业所取得的进步庆祝，呼吁全社会坚守为儿童做出的承诺，并提醒我们要为儿童做出更大努力。我们每个人都要尊重儿童的权利，做幸福童年的守护者。</w:t>
            </w:r>
          </w:p>
          <w:p w14:paraId="1538F205">
            <w:pPr>
              <w:pStyle w:val="15"/>
              <w:widowControl w:val="0"/>
              <w:numPr>
                <w:ilvl w:val="0"/>
                <w:numId w:val="0"/>
              </w:numPr>
              <w:ind w:left="-50" w:leftChars="0" w:right="-50" w:rightChars="0"/>
              <w:jc w:val="both"/>
              <w:rPr>
                <w:rFonts w:hint="eastAsia" w:ascii="宋体" w:hAnsi="宋体" w:eastAsia="宋体" w:cs="宋体"/>
                <w:b w:val="0"/>
                <w:bCs/>
                <w:szCs w:val="21"/>
                <w:lang w:val="en-US" w:eastAsia="zh-CN"/>
              </w:rPr>
            </w:pPr>
            <w:r>
              <w:rPr>
                <w:rFonts w:hint="eastAsia" w:ascii="宋体" w:hAnsi="宋体" w:eastAsia="宋体" w:cs="宋体"/>
                <w:b/>
                <w:bCs w:val="0"/>
                <w:szCs w:val="21"/>
                <w:lang w:val="en-US" w:eastAsia="zh-CN"/>
              </w:rPr>
              <w:t>提问1：</w:t>
            </w:r>
            <w:r>
              <w:rPr>
                <w:rFonts w:hint="eastAsia" w:ascii="仿宋_GB2312" w:hAnsi="宋体" w:eastAsia="仿宋_GB2312"/>
                <w:b/>
                <w:bCs w:val="0"/>
                <w:szCs w:val="21"/>
                <w:lang w:eastAsia="zh-CN"/>
              </w:rPr>
              <w:t>你是如何理解“点亮儿童未来”这句话的呢?</w:t>
            </w:r>
          </w:p>
          <w:p w14:paraId="1F5C0B7A">
            <w:pPr>
              <w:pStyle w:val="15"/>
              <w:widowControl w:val="0"/>
              <w:numPr>
                <w:ilvl w:val="0"/>
                <w:numId w:val="0"/>
              </w:numPr>
              <w:ind w:left="-50" w:leftChars="0" w:right="-50" w:rightChars="0"/>
              <w:jc w:val="both"/>
              <w:rPr>
                <w:rFonts w:hint="eastAsia" w:ascii="仿宋_GB2312" w:hAnsi="宋体" w:eastAsia="仿宋_GB2312"/>
                <w:b/>
                <w:bCs w:val="0"/>
                <w:szCs w:val="21"/>
                <w:lang w:eastAsia="zh-CN"/>
              </w:rPr>
            </w:pPr>
            <w:r>
              <w:rPr>
                <w:rFonts w:hint="eastAsia" w:ascii="宋体" w:hAnsi="宋体" w:eastAsia="宋体" w:cs="宋体"/>
                <w:b/>
                <w:bCs w:val="0"/>
                <w:szCs w:val="21"/>
                <w:lang w:val="en-US" w:eastAsia="zh-CN"/>
              </w:rPr>
              <w:t>提问2：</w:t>
            </w:r>
            <w:r>
              <w:rPr>
                <w:rFonts w:hint="eastAsia" w:ascii="仿宋_GB2312" w:hAnsi="宋体" w:eastAsia="仿宋_GB2312"/>
                <w:b/>
                <w:bCs w:val="0"/>
                <w:szCs w:val="21"/>
                <w:lang w:eastAsia="zh-CN"/>
              </w:rPr>
              <w:t>你了解哪些保护儿童权利的政策文件?</w:t>
            </w:r>
          </w:p>
          <w:p w14:paraId="00DDED4A">
            <w:pPr>
              <w:pStyle w:val="15"/>
              <w:widowControl w:val="0"/>
              <w:numPr>
                <w:ilvl w:val="0"/>
                <w:numId w:val="0"/>
              </w:numPr>
              <w:ind w:left="-50" w:leftChars="0" w:right="-50" w:rightChars="0"/>
              <w:jc w:val="both"/>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【学生活动】</w:t>
            </w:r>
          </w:p>
          <w:p w14:paraId="15A492E2">
            <w:pPr>
              <w:pStyle w:val="15"/>
              <w:widowControl w:val="0"/>
              <w:numPr>
                <w:ilvl w:val="0"/>
                <w:numId w:val="0"/>
              </w:numPr>
              <w:ind w:left="-50" w:leftChars="0" w:right="-50" w:rightChars="0"/>
              <w:jc w:val="both"/>
              <w:rPr>
                <w:rFonts w:hint="default" w:ascii="宋体" w:hAnsi="宋体" w:eastAsia="宋体" w:cs="宋体"/>
                <w:b w:val="0"/>
                <w:bCs/>
                <w:szCs w:val="21"/>
                <w:lang w:val="en-US" w:eastAsia="zh-CN"/>
              </w:rPr>
            </w:pPr>
            <w:r>
              <w:rPr>
                <w:rFonts w:hint="eastAsia" w:ascii="宋体" w:hAnsi="宋体" w:eastAsia="宋体" w:cs="宋体"/>
                <w:b/>
                <w:bCs w:val="0"/>
                <w:szCs w:val="21"/>
                <w:lang w:val="en-US" w:eastAsia="zh-CN"/>
              </w:rPr>
              <w:t>预设1：</w:t>
            </w:r>
            <w:r>
              <w:rPr>
                <w:rFonts w:hint="eastAsia" w:ascii="宋体" w:hAnsi="宋体" w:eastAsia="宋体" w:cs="宋体"/>
                <w:b w:val="0"/>
                <w:bCs/>
                <w:szCs w:val="21"/>
                <w:lang w:val="en-US" w:eastAsia="zh-CN"/>
              </w:rPr>
              <w:t>每年的11月20日设立为世界儿童日，旨在提高全世界的儿童权利意识，改善儿童福祉，儿童的权利应该得到父母、社会的保护，让儿童在快乐中成长 。</w:t>
            </w:r>
          </w:p>
          <w:p w14:paraId="36BE7F40">
            <w:pPr>
              <w:pStyle w:val="15"/>
              <w:widowControl w:val="0"/>
              <w:numPr>
                <w:ilvl w:val="0"/>
                <w:numId w:val="0"/>
              </w:numPr>
              <w:ind w:left="-50" w:leftChars="0" w:right="-50" w:rightChars="0"/>
              <w:jc w:val="both"/>
              <w:rPr>
                <w:rFonts w:hint="default" w:ascii="宋体" w:hAnsi="宋体" w:eastAsia="宋体" w:cs="宋体"/>
                <w:b/>
                <w:bCs w:val="0"/>
                <w:szCs w:val="21"/>
                <w:lang w:val="en-US" w:eastAsia="zh-CN"/>
              </w:rPr>
            </w:pPr>
            <w:r>
              <w:rPr>
                <w:rFonts w:hint="eastAsia" w:ascii="宋体" w:hAnsi="宋体" w:eastAsia="宋体" w:cs="宋体"/>
                <w:b/>
                <w:bCs w:val="0"/>
                <w:szCs w:val="21"/>
                <w:lang w:val="en-US" w:eastAsia="zh-CN"/>
              </w:rPr>
              <w:t>预设2：</w:t>
            </w:r>
            <w:r>
              <w:rPr>
                <w:rFonts w:hint="eastAsia" w:ascii="宋体" w:hAnsi="宋体" w:eastAsia="宋体" w:cs="宋体"/>
                <w:b w:val="0"/>
                <w:bCs/>
                <w:szCs w:val="21"/>
                <w:lang w:val="en-US" w:eastAsia="zh-CN"/>
              </w:rPr>
              <w:t>《未成年人保护法》《儿童权利公约》《教育法》等。</w:t>
            </w:r>
          </w:p>
          <w:p w14:paraId="0274A08A">
            <w:pPr>
              <w:pStyle w:val="15"/>
              <w:widowControl w:val="0"/>
              <w:numPr>
                <w:ilvl w:val="0"/>
                <w:numId w:val="0"/>
              </w:numPr>
              <w:ind w:left="-50" w:leftChars="0" w:right="-50" w:rightChars="0"/>
              <w:jc w:val="both"/>
              <w:rPr>
                <w:rFonts w:hint="eastAsia" w:ascii="宋体" w:hAnsi="宋体" w:eastAsia="宋体" w:cs="宋体"/>
                <w:bCs/>
                <w:szCs w:val="21"/>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-69850</wp:posOffset>
                      </wp:positionH>
                      <wp:positionV relativeFrom="paragraph">
                        <wp:posOffset>193040</wp:posOffset>
                      </wp:positionV>
                      <wp:extent cx="5351780" cy="948055"/>
                      <wp:effectExtent l="4445" t="4445" r="6350" b="9525"/>
                      <wp:wrapNone/>
                      <wp:docPr id="2" name="文本框 2"/>
                      <wp:cNvGraphicFramePr/>
                      <a:graphic xmlns:a="http://schemas.openxmlformats.org/drawingml/2006/main">
                        <a:graphicData uri="http://schemas.microsoft.com/office/word/2010/wordprocessingShape">
                          <wps:wsp>
                            <wps:cNvSpPr txBox="1"/>
                            <wps:spPr>
                              <a:xfrm>
                                <a:off x="994410" y="4827905"/>
                                <a:ext cx="5351780" cy="948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B89D4B">
                                  <w:pPr>
                                    <w:pStyle w:val="15"/>
                                    <w:numPr>
                                      <w:ilvl w:val="0"/>
                                      <w:numId w:val="0"/>
                                    </w:numPr>
                                    <w:ind w:left="-50" w:leftChars="0" w:right="-50" w:rightChars="0"/>
                                    <w:rPr>
                                      <w:rFonts w:hint="eastAsia" w:ascii="宋体" w:hAnsi="宋体" w:eastAsia="宋体" w:cs="宋体"/>
                                      <w:bCs/>
                                      <w:szCs w:val="21"/>
                                      <w:lang w:val="en-US" w:eastAsia="zh-CN"/>
                                    </w:rPr>
                                  </w:pPr>
                                  <w:r>
                                    <w:rPr>
                                      <w:rFonts w:hint="eastAsia" w:ascii="宋体" w:hAnsi="宋体" w:eastAsia="宋体" w:cs="宋体"/>
                                      <w:bCs/>
                                      <w:szCs w:val="21"/>
                                      <w:lang w:val="en-US" w:eastAsia="zh-CN"/>
                                    </w:rPr>
                                    <w:t>设计意图：</w:t>
                                  </w:r>
                                </w:p>
                                <w:p w14:paraId="4D033736">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1.导入《点亮儿童的未来》，引起学生兴趣，快速回到上课状态。</w:t>
                                  </w:r>
                                </w:p>
                                <w:p w14:paraId="16822828">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2.设计问题，引发学生思考“点亮儿童未来”的意义？</w:t>
                                  </w:r>
                                </w:p>
                                <w:p w14:paraId="23338CAD">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3.引导学生罗列出一些保护儿童权利的政策文件。</w:t>
                                  </w:r>
                                </w:p>
                                <w:p w14:paraId="24BBD3E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15.2pt;height:74.65pt;width:421.4pt;z-index:251659264;mso-width-relative:page;mso-height-relative:page;" fillcolor="#FFFFFF [3201]" filled="t" stroked="t" coordsize="21600,21600" o:gfxdata="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c8oHXAAAACgEAAA8AAAAAAAAAAQAgAAAAIgAAAGRycy9kb3ducmV2LnhtbFBLAQIU&#10;ABQAAAAIAIdO4kDrAje3ZgIAAMIEAAAOAAAAAAAAAAEAIAAAACYBAABkcnMvZTJvRG9jLnhtbFBL&#10;BQYAAAAABgAGAFkBAAD+BQAAAAA=&#10;">
                      <v:fill on="t" focussize="0,0"/>
                      <v:stroke weight="0.5pt" color="#000000 [3204]" joinstyle="round"/>
                      <v:imagedata o:title=""/>
                      <o:lock v:ext="edit" aspectratio="f"/>
                      <v:textbox>
                        <w:txbxContent>
                          <w:p w14:paraId="74B89D4B">
                            <w:pPr>
                              <w:pStyle w:val="15"/>
                              <w:numPr>
                                <w:ilvl w:val="0"/>
                                <w:numId w:val="0"/>
                              </w:numPr>
                              <w:ind w:left="-50" w:leftChars="0" w:right="-50" w:rightChars="0"/>
                              <w:rPr>
                                <w:rFonts w:hint="eastAsia" w:ascii="宋体" w:hAnsi="宋体" w:eastAsia="宋体" w:cs="宋体"/>
                                <w:bCs/>
                                <w:szCs w:val="21"/>
                                <w:lang w:val="en-US" w:eastAsia="zh-CN"/>
                              </w:rPr>
                            </w:pPr>
                            <w:r>
                              <w:rPr>
                                <w:rFonts w:hint="eastAsia" w:ascii="宋体" w:hAnsi="宋体" w:eastAsia="宋体" w:cs="宋体"/>
                                <w:bCs/>
                                <w:szCs w:val="21"/>
                                <w:lang w:val="en-US" w:eastAsia="zh-CN"/>
                              </w:rPr>
                              <w:t>设计意图：</w:t>
                            </w:r>
                          </w:p>
                          <w:p w14:paraId="4D033736">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1.导入《点亮儿童的未来》，引起学生兴趣，快速回到上课状态。</w:t>
                            </w:r>
                          </w:p>
                          <w:p w14:paraId="16822828">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2.设计问题，引发学生思考“点亮儿童未来”的意义？</w:t>
                            </w:r>
                          </w:p>
                          <w:p w14:paraId="23338CAD">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3.引导学生罗列出一些保护儿童权利的政策文件。</w:t>
                            </w:r>
                          </w:p>
                          <w:p w14:paraId="24BBD3E7"/>
                        </w:txbxContent>
                      </v:textbox>
                    </v:shape>
                  </w:pict>
                </mc:Fallback>
              </mc:AlternateContent>
            </w:r>
          </w:p>
          <w:p w14:paraId="79B73B5E">
            <w:pPr>
              <w:pStyle w:val="15"/>
              <w:widowControl w:val="0"/>
              <w:numPr>
                <w:ilvl w:val="0"/>
                <w:numId w:val="0"/>
              </w:numPr>
              <w:ind w:left="-50" w:leftChars="0" w:right="-50" w:rightChars="0"/>
              <w:jc w:val="both"/>
              <w:rPr>
                <w:rFonts w:hint="default" w:ascii="宋体" w:hAnsi="宋体" w:eastAsia="宋体" w:cs="宋体"/>
                <w:bCs/>
                <w:szCs w:val="21"/>
                <w:lang w:val="en-US" w:eastAsia="zh-CN"/>
              </w:rPr>
            </w:pPr>
          </w:p>
          <w:p w14:paraId="31321C01">
            <w:pPr>
              <w:pStyle w:val="15"/>
              <w:widowControl w:val="0"/>
              <w:numPr>
                <w:ilvl w:val="0"/>
                <w:numId w:val="0"/>
              </w:numPr>
              <w:ind w:left="-50" w:leftChars="0" w:right="-50" w:rightChars="0"/>
              <w:jc w:val="both"/>
              <w:rPr>
                <w:rFonts w:hint="default" w:ascii="宋体" w:hAnsi="宋体" w:eastAsia="宋体" w:cs="宋体"/>
                <w:bCs/>
                <w:szCs w:val="21"/>
                <w:lang w:val="en-US" w:eastAsia="zh-CN"/>
              </w:rPr>
            </w:pPr>
          </w:p>
          <w:p w14:paraId="77323C02">
            <w:pPr>
              <w:pStyle w:val="15"/>
              <w:widowControl w:val="0"/>
              <w:numPr>
                <w:ilvl w:val="0"/>
                <w:numId w:val="0"/>
              </w:numPr>
              <w:ind w:left="-50" w:leftChars="0" w:right="-50" w:rightChars="0"/>
              <w:jc w:val="both"/>
              <w:rPr>
                <w:rFonts w:hint="default" w:ascii="宋体" w:hAnsi="宋体" w:eastAsia="宋体" w:cs="宋体"/>
                <w:bCs/>
                <w:szCs w:val="21"/>
                <w:lang w:val="en-US" w:eastAsia="zh-CN"/>
              </w:rPr>
            </w:pPr>
          </w:p>
          <w:p w14:paraId="59BE201A">
            <w:pPr>
              <w:pStyle w:val="15"/>
              <w:widowControl w:val="0"/>
              <w:numPr>
                <w:ilvl w:val="0"/>
                <w:numId w:val="0"/>
              </w:numPr>
              <w:ind w:left="-50" w:leftChars="0" w:right="-50" w:rightChars="0"/>
              <w:jc w:val="both"/>
              <w:rPr>
                <w:rFonts w:hint="default" w:ascii="宋体" w:hAnsi="宋体" w:eastAsia="宋体" w:cs="宋体"/>
                <w:bCs/>
                <w:szCs w:val="21"/>
                <w:lang w:val="en-US" w:eastAsia="zh-CN"/>
              </w:rPr>
            </w:pPr>
          </w:p>
          <w:p w14:paraId="79425B8A">
            <w:pPr>
              <w:pStyle w:val="15"/>
              <w:widowControl w:val="0"/>
              <w:numPr>
                <w:ilvl w:val="0"/>
                <w:numId w:val="0"/>
              </w:numPr>
              <w:ind w:left="-50" w:leftChars="0" w:right="-50" w:rightChars="0"/>
              <w:jc w:val="both"/>
              <w:rPr>
                <w:rFonts w:hint="default" w:ascii="宋体" w:hAnsi="宋体" w:eastAsia="宋体" w:cs="宋体"/>
                <w:bCs/>
                <w:szCs w:val="21"/>
                <w:lang w:val="en-US" w:eastAsia="zh-CN"/>
              </w:rPr>
            </w:pPr>
          </w:p>
          <w:p w14:paraId="5C1E8803">
            <w:pPr>
              <w:pStyle w:val="15"/>
              <w:widowControl w:val="0"/>
              <w:numPr>
                <w:ilvl w:val="0"/>
                <w:numId w:val="0"/>
              </w:numPr>
              <w:ind w:left="-50" w:leftChars="0" w:right="-50" w:rightChars="0"/>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环节二：知识讲授</w:t>
            </w:r>
          </w:p>
          <w:p w14:paraId="12242C76">
            <w:pPr>
              <w:pStyle w:val="15"/>
              <w:widowControl w:val="0"/>
              <w:numPr>
                <w:ilvl w:val="0"/>
                <w:numId w:val="0"/>
              </w:numPr>
              <w:ind w:left="-50" w:leftChars="0" w:right="-50" w:rightChars="0"/>
              <w:jc w:val="both"/>
              <w:rPr>
                <w:rFonts w:hint="eastAsia" w:ascii="仿宋_GB2312" w:hAnsi="宋体" w:eastAsia="仿宋_GB2312"/>
                <w:b w:val="0"/>
                <w:bCs/>
                <w:szCs w:val="21"/>
              </w:rPr>
            </w:pPr>
            <w:r>
              <w:rPr>
                <w:rFonts w:hint="eastAsia" w:ascii="宋体" w:hAnsi="宋体" w:eastAsia="宋体" w:cs="宋体"/>
                <w:bCs/>
                <w:szCs w:val="21"/>
                <w:lang w:val="en-US" w:eastAsia="zh-CN"/>
              </w:rPr>
              <w:t>知识点一：</w:t>
            </w:r>
            <w:r>
              <w:rPr>
                <w:rFonts w:hint="eastAsia" w:ascii="宋体" w:hAnsi="宋体" w:eastAsia="宋体" w:cs="宋体"/>
                <w:b w:val="0"/>
                <w:bCs/>
                <w:szCs w:val="21"/>
                <w:lang w:val="en-US" w:eastAsia="zh-CN"/>
              </w:rPr>
              <w:t>《儿童权利公约》</w:t>
            </w:r>
            <w:r>
              <w:rPr>
                <w:rFonts w:hint="eastAsia" w:ascii="仿宋_GB2312" w:hAnsi="宋体" w:eastAsia="仿宋_GB2312"/>
                <w:b w:val="0"/>
                <w:bCs/>
                <w:szCs w:val="21"/>
              </w:rPr>
              <w:t>产生背景</w:t>
            </w:r>
          </w:p>
          <w:p w14:paraId="2C578CDD">
            <w:pPr>
              <w:pStyle w:val="15"/>
              <w:widowControl w:val="0"/>
              <w:numPr>
                <w:ilvl w:val="0"/>
                <w:numId w:val="0"/>
              </w:numPr>
              <w:ind w:left="-50" w:leftChars="0" w:right="-50" w:rightChars="0"/>
              <w:jc w:val="both"/>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【教师活动】</w:t>
            </w:r>
          </w:p>
          <w:p w14:paraId="4CD9687D">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20世纪初期，工业化国家没有儿童保护的相关标准。儿童和成年人一起在不卫生、不安全的环境下工作是司空见惯的现象。</w:t>
            </w:r>
          </w:p>
          <w:p w14:paraId="6FEB713D">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1946年，联合国大会创立了联合国国际儿童紧急救援基金会（现称联合国儿童基金会），将全球的儿童事务作为工作重点。</w:t>
            </w:r>
          </w:p>
          <w:p w14:paraId="1E49B957">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1959年，联合国大会通过《儿童权利宣言》（不具有条约法效力）。</w:t>
            </w:r>
          </w:p>
          <w:p w14:paraId="28320CDC">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1978年，波兰的洛帕萨教授倡议起草具有条约法效力的《儿童权利公约》。</w:t>
            </w:r>
          </w:p>
          <w:p w14:paraId="08903F39">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1989年1月20日《儿童权利公约》在第44届联合国大会通过。</w:t>
            </w:r>
          </w:p>
          <w:p w14:paraId="3589B571">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1990年9月2日作为国际法正式生效。</w:t>
            </w:r>
          </w:p>
          <w:p w14:paraId="581CD4A3">
            <w:pPr>
              <w:pStyle w:val="15"/>
              <w:widowControl w:val="0"/>
              <w:numPr>
                <w:ilvl w:val="0"/>
                <w:numId w:val="0"/>
              </w:numPr>
              <w:ind w:left="-50" w:leftChars="0" w:right="-50" w:rightChars="0"/>
              <w:jc w:val="both"/>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【知识深化】</w:t>
            </w:r>
          </w:p>
          <w:p w14:paraId="3F481C42">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回首《儿童权利公约》30年</w:t>
            </w:r>
          </w:p>
          <w:p w14:paraId="089B4B3A">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30 多年前，世界各国领导人通过了一项国际公约联合国《儿童权利公约》，为全世界儿童做出了历史性的承诺。在过去的30年里，孩子们的生活显著改善。</w:t>
            </w:r>
          </w:p>
          <w:p w14:paraId="42E6BA9C">
            <w:pPr>
              <w:pStyle w:val="15"/>
              <w:widowControl w:val="0"/>
              <w:numPr>
                <w:ilvl w:val="0"/>
                <w:numId w:val="0"/>
              </w:numPr>
              <w:ind w:left="-50" w:leftChars="0" w:right="-50" w:rightChars="0" w:firstLine="420" w:firstLineChars="200"/>
              <w:jc w:val="both"/>
              <w:rPr>
                <w:rFonts w:hint="eastAsia" w:ascii="仿宋_GB2312" w:hAnsi="宋体" w:eastAsia="仿宋_GB2312"/>
                <w:b w:val="0"/>
                <w:bCs/>
                <w:szCs w:val="21"/>
                <w:lang w:eastAsia="zh-CN"/>
              </w:rPr>
            </w:pPr>
            <w:r>
              <w:rPr>
                <w:rFonts w:hint="eastAsia" w:ascii="仿宋_GB2312" w:hAnsi="宋体" w:eastAsia="仿宋_GB2312" w:cstheme="minorBidi"/>
                <w:b w:val="0"/>
                <w:bCs/>
                <w:kern w:val="2"/>
                <w:sz w:val="21"/>
                <w:szCs w:val="21"/>
                <w:lang w:val="en-US" w:eastAsia="zh-CN" w:bidi="ar-SA"/>
              </w:rPr>
              <w:t>(1)</w:t>
            </w:r>
            <w:r>
              <w:rPr>
                <w:rFonts w:hint="eastAsia" w:ascii="仿宋_GB2312" w:hAnsi="宋体" w:eastAsia="仿宋_GB2312"/>
                <w:b w:val="0"/>
                <w:bCs/>
                <w:szCs w:val="21"/>
                <w:lang w:eastAsia="zh-CN"/>
              </w:rPr>
              <w:t>自1990年以来，5岁以下儿童死亡率降低</w:t>
            </w:r>
            <w:r>
              <w:rPr>
                <w:rFonts w:hint="eastAsia" w:ascii="仿宋_GB2312" w:hAnsi="宋体" w:eastAsia="仿宋_GB2312"/>
                <w:b w:val="0"/>
                <w:bCs/>
                <w:szCs w:val="21"/>
                <w:lang w:val="en-US" w:eastAsia="zh-CN"/>
              </w:rPr>
              <w:t>了</w:t>
            </w:r>
            <w:r>
              <w:rPr>
                <w:rFonts w:hint="eastAsia" w:ascii="仿宋_GB2312" w:hAnsi="宋体" w:eastAsia="仿宋_GB2312"/>
                <w:b w:val="0"/>
                <w:bCs/>
                <w:szCs w:val="21"/>
                <w:lang w:eastAsia="zh-CN"/>
              </w:rPr>
              <w:t>50%以上。</w:t>
            </w:r>
          </w:p>
          <w:p w14:paraId="76EBB9F7">
            <w:pPr>
              <w:pStyle w:val="15"/>
              <w:widowControl w:val="0"/>
              <w:numPr>
                <w:ilvl w:val="0"/>
                <w:numId w:val="0"/>
              </w:numPr>
              <w:ind w:left="-50" w:leftChars="0" w:right="-50" w:rightChars="0" w:firstLine="420" w:firstLineChars="200"/>
              <w:jc w:val="both"/>
              <w:rPr>
                <w:rFonts w:hint="eastAsia" w:ascii="仿宋_GB2312" w:hAnsi="宋体" w:eastAsia="仿宋_GB2312"/>
                <w:b w:val="0"/>
                <w:bCs/>
                <w:szCs w:val="21"/>
                <w:lang w:eastAsia="zh-CN"/>
              </w:rPr>
            </w:pPr>
            <w:r>
              <w:rPr>
                <w:rFonts w:hint="eastAsia" w:ascii="仿宋_GB2312" w:hAnsi="宋体" w:eastAsia="仿宋_GB2312" w:cstheme="minorBidi"/>
                <w:b w:val="0"/>
                <w:bCs/>
                <w:kern w:val="2"/>
                <w:sz w:val="21"/>
                <w:szCs w:val="21"/>
                <w:lang w:val="en-US" w:eastAsia="zh-CN" w:bidi="ar-SA"/>
              </w:rPr>
              <w:t>(2)</w:t>
            </w:r>
            <w:r>
              <w:rPr>
                <w:rFonts w:hint="eastAsia" w:ascii="仿宋_GB2312" w:hAnsi="宋体" w:eastAsia="仿宋_GB2312"/>
                <w:b w:val="0"/>
                <w:bCs/>
                <w:szCs w:val="21"/>
                <w:lang w:eastAsia="zh-CN"/>
              </w:rPr>
              <w:t>自1990年以来，儿童营养不良率几乎减半。</w:t>
            </w:r>
          </w:p>
          <w:p w14:paraId="61B0AE94">
            <w:pPr>
              <w:pStyle w:val="15"/>
              <w:widowControl w:val="0"/>
              <w:numPr>
                <w:ilvl w:val="0"/>
                <w:numId w:val="0"/>
              </w:numPr>
              <w:ind w:left="-50" w:leftChars="0" w:right="-50" w:rightChars="0" w:firstLine="480" w:firstLineChars="200"/>
              <w:jc w:val="both"/>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(3)与1990年相比，今天能够获得清洁饮用水的人口增加了26亿人。</w:t>
            </w:r>
          </w:p>
          <w:p w14:paraId="603575CE">
            <w:pPr>
              <w:pStyle w:val="15"/>
              <w:keepNext w:val="0"/>
              <w:keepLines w:val="0"/>
              <w:pageBreakBefore w:val="0"/>
              <w:widowControl w:val="0"/>
              <w:numPr>
                <w:ilvl w:val="0"/>
                <w:numId w:val="0"/>
              </w:numPr>
              <w:kinsoku/>
              <w:wordWrap/>
              <w:overflowPunct/>
              <w:topLinePunct w:val="0"/>
              <w:autoSpaceDE/>
              <w:autoSpaceDN/>
              <w:bidi w:val="0"/>
              <w:adjustRightInd/>
              <w:snapToGrid/>
              <w:ind w:left="-50" w:leftChars="0" w:right="-50"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但仍有数百万儿童无法享有基本权利，他们的童年生活面临着巨大的挑战。</w:t>
            </w:r>
          </w:p>
          <w:p w14:paraId="56E6B46C">
            <w:pPr>
              <w:pStyle w:val="15"/>
              <w:keepNext w:val="0"/>
              <w:keepLines w:val="0"/>
              <w:pageBreakBefore w:val="0"/>
              <w:widowControl w:val="0"/>
              <w:numPr>
                <w:ilvl w:val="0"/>
                <w:numId w:val="0"/>
              </w:numPr>
              <w:kinsoku/>
              <w:wordWrap/>
              <w:overflowPunct/>
              <w:topLinePunct w:val="0"/>
              <w:autoSpaceDE/>
              <w:autoSpaceDN/>
              <w:bidi w:val="0"/>
              <w:adjustRightInd/>
              <w:snapToGrid/>
              <w:ind w:left="-50" w:leftChars="0" w:right="-50"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(1)2.62 亿儿童和青少年失学。</w:t>
            </w:r>
          </w:p>
          <w:p w14:paraId="25946DFB">
            <w:pPr>
              <w:pStyle w:val="15"/>
              <w:keepNext w:val="0"/>
              <w:keepLines w:val="0"/>
              <w:pageBreakBefore w:val="0"/>
              <w:widowControl w:val="0"/>
              <w:numPr>
                <w:ilvl w:val="0"/>
                <w:numId w:val="0"/>
              </w:numPr>
              <w:kinsoku/>
              <w:wordWrap/>
              <w:overflowPunct/>
              <w:topLinePunct w:val="0"/>
              <w:autoSpaceDE/>
              <w:autoSpaceDN/>
              <w:bidi w:val="0"/>
              <w:adjustRightInd/>
              <w:snapToGrid/>
              <w:ind w:left="-50" w:leftChars="0" w:right="-50"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(2)6.5亿女童和妇女未满 18岁即步入婚姻。</w:t>
            </w:r>
          </w:p>
          <w:p w14:paraId="06664368">
            <w:pPr>
              <w:pStyle w:val="15"/>
              <w:keepNext w:val="0"/>
              <w:keepLines w:val="0"/>
              <w:pageBreakBefore w:val="0"/>
              <w:widowControl w:val="0"/>
              <w:numPr>
                <w:ilvl w:val="0"/>
                <w:numId w:val="0"/>
              </w:numPr>
              <w:kinsoku/>
              <w:wordWrap/>
              <w:overflowPunct/>
              <w:topLinePunct w:val="0"/>
              <w:autoSpaceDE/>
              <w:autoSpaceDN/>
              <w:bidi w:val="0"/>
              <w:adjustRightInd/>
              <w:snapToGrid/>
              <w:ind w:left="-50" w:leftChars="0" w:right="-50"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(3)到2040年，约有四分之一的儿童将生活在水资源极其缺乏的地区。</w:t>
            </w:r>
          </w:p>
          <w:p w14:paraId="6C1A4DDC">
            <w:pPr>
              <w:keepNext w:val="0"/>
              <w:keepLines w:val="0"/>
              <w:pageBreakBefore w:val="0"/>
              <w:widowControl w:val="0"/>
              <w:numPr>
                <w:ilvl w:val="0"/>
                <w:numId w:val="0"/>
              </w:numPr>
              <w:kinsoku/>
              <w:wordWrap/>
              <w:overflowPunct/>
              <w:topLinePunct w:val="0"/>
              <w:autoSpaceDE/>
              <w:autoSpaceDN/>
              <w:bidi w:val="0"/>
              <w:adjustRightInd/>
              <w:snapToGrid/>
              <w:ind w:right="-51" w:rightChars="0" w:firstLine="482" w:firstLineChars="200"/>
              <w:jc w:val="both"/>
              <w:textAlignment w:val="auto"/>
              <w:rPr>
                <w:rFonts w:hint="default" w:ascii="仿宋_GB2312" w:hAnsi="宋体" w:eastAsia="仿宋_GB2312"/>
                <w:b w:val="0"/>
                <w:bCs/>
                <w:szCs w:val="21"/>
                <w:lang w:val="en-US" w:eastAsia="zh-CN"/>
              </w:rPr>
            </w:pPr>
            <w:r>
              <w:rPr>
                <w:rFonts w:hint="eastAsia" w:ascii="仿宋_GB2312" w:hAnsi="宋体" w:eastAsia="仿宋_GB2312"/>
                <w:b/>
                <w:bCs w:val="0"/>
                <w:szCs w:val="21"/>
                <w:lang w:val="en-US" w:eastAsia="zh-CN"/>
              </w:rPr>
              <w:t>教师总结：</w:t>
            </w:r>
            <w:r>
              <w:rPr>
                <w:rFonts w:hint="eastAsia" w:ascii="仿宋_GB2312" w:hAnsi="宋体" w:eastAsia="仿宋_GB2312"/>
                <w:b w:val="0"/>
                <w:bCs/>
                <w:szCs w:val="21"/>
                <w:lang w:val="en-US" w:eastAsia="zh-CN"/>
              </w:rPr>
              <w:t>不是每个儿童都能拥有美好的童年，还有许多儿童无法享受到完整的童年时光。我们应该承担起责任，呼吁各国政府、企业和社区的领导者履行承诺，为儿童的权利而行动。</w:t>
            </w:r>
          </w:p>
          <w:p w14:paraId="5B4313A3">
            <w:pPr>
              <w:keepNext w:val="0"/>
              <w:keepLines w:val="0"/>
              <w:pageBreakBefore w:val="0"/>
              <w:widowControl w:val="0"/>
              <w:numPr>
                <w:ilvl w:val="0"/>
                <w:numId w:val="0"/>
              </w:numPr>
              <w:kinsoku/>
              <w:wordWrap/>
              <w:overflowPunct/>
              <w:topLinePunct w:val="0"/>
              <w:autoSpaceDE/>
              <w:autoSpaceDN/>
              <w:bidi w:val="0"/>
              <w:adjustRightInd/>
              <w:snapToGrid/>
              <w:ind w:right="-51" w:rightChars="0" w:firstLine="420" w:firstLineChars="200"/>
              <w:jc w:val="both"/>
              <w:textAlignment w:val="auto"/>
              <w:rPr>
                <w:rFonts w:hint="default" w:ascii="仿宋_GB2312" w:hAnsi="宋体" w:eastAsia="仿宋_GB2312"/>
                <w:b w:val="0"/>
                <w:bCs/>
                <w:szCs w:val="21"/>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-15875</wp:posOffset>
                      </wp:positionH>
                      <wp:positionV relativeFrom="paragraph">
                        <wp:posOffset>41275</wp:posOffset>
                      </wp:positionV>
                      <wp:extent cx="5253990" cy="850265"/>
                      <wp:effectExtent l="4445" t="4445" r="8890" b="12065"/>
                      <wp:wrapNone/>
                      <wp:docPr id="4" name="文本框 4"/>
                      <wp:cNvGraphicFramePr/>
                      <a:graphic xmlns:a="http://schemas.openxmlformats.org/drawingml/2006/main">
                        <a:graphicData uri="http://schemas.microsoft.com/office/word/2010/wordprocessingShape">
                          <wps:wsp>
                            <wps:cNvSpPr txBox="1"/>
                            <wps:spPr>
                              <a:xfrm>
                                <a:off x="1486535" y="8339455"/>
                                <a:ext cx="5253990" cy="8502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6567AD">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设计意图：</w:t>
                                  </w:r>
                                </w:p>
                                <w:p w14:paraId="06D713F9">
                                  <w:pPr>
                                    <w:pStyle w:val="15"/>
                                    <w:numPr>
                                      <w:ilvl w:val="0"/>
                                      <w:numId w:val="0"/>
                                    </w:numPr>
                                    <w:ind w:left="-50" w:leftChars="0" w:right="-50" w:rightChars="0"/>
                                    <w:rPr>
                                      <w:rFonts w:hint="default"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1.知识归纳讲解，使学生了解《儿童权利公约》产生背景。</w:t>
                                  </w:r>
                                </w:p>
                                <w:p w14:paraId="4B16F54F">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2.知识深化，扩展知识面。</w:t>
                                  </w:r>
                                </w:p>
                                <w:p w14:paraId="1D76B45C">
                                  <w:pPr>
                                    <w:pStyle w:val="15"/>
                                    <w:numPr>
                                      <w:ilvl w:val="0"/>
                                      <w:numId w:val="0"/>
                                    </w:numPr>
                                    <w:ind w:left="-50" w:leftChars="0" w:right="-50" w:rightChars="0"/>
                                    <w:rPr>
                                      <w:rFonts w:hint="default"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3.呼吁全社会共同行动，为保护儿童权利勇于担起重任。</w:t>
                                  </w:r>
                                </w:p>
                                <w:p w14:paraId="4FCC55FE">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p>
                                <w:p w14:paraId="17F662ED">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3.25pt;height:66.95pt;width:413.7pt;z-index:251660288;mso-width-relative:page;mso-height-relative:page;" fillcolor="#FFFFFF [3201]" filled="t" stroked="t" coordsize="21600,21600" o:gfxdata="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08gDr1gAAAAgBAAAPAAAAAAAAAAEAIAAAACIAAABkcnMvZG93bnJldi54bWxQSwECFAAU&#10;AAAACACHTuJANzJPeWUCAADDBAAADgAAAAAAAAABACAAAAAlAQAAZHJzL2Uyb0RvYy54bWxQSwUG&#10;AAAAAAYABgBZAQAA/AUAAAAA&#10;">
                      <v:fill on="t" focussize="0,0"/>
                      <v:stroke weight="0.5pt" color="#000000 [3204]" joinstyle="round"/>
                      <v:imagedata o:title=""/>
                      <o:lock v:ext="edit" aspectratio="f"/>
                      <v:textbox>
                        <w:txbxContent>
                          <w:p w14:paraId="046567AD">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设计意图：</w:t>
                            </w:r>
                          </w:p>
                          <w:p w14:paraId="06D713F9">
                            <w:pPr>
                              <w:pStyle w:val="15"/>
                              <w:numPr>
                                <w:ilvl w:val="0"/>
                                <w:numId w:val="0"/>
                              </w:numPr>
                              <w:ind w:left="-50" w:leftChars="0" w:right="-50" w:rightChars="0"/>
                              <w:rPr>
                                <w:rFonts w:hint="default"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1.知识归纳讲解，使学生了解《儿童权利公约》产生背景。</w:t>
                            </w:r>
                          </w:p>
                          <w:p w14:paraId="4B16F54F">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2.知识深化，扩展知识面。</w:t>
                            </w:r>
                          </w:p>
                          <w:p w14:paraId="1D76B45C">
                            <w:pPr>
                              <w:pStyle w:val="15"/>
                              <w:numPr>
                                <w:ilvl w:val="0"/>
                                <w:numId w:val="0"/>
                              </w:numPr>
                              <w:ind w:left="-50" w:leftChars="0" w:right="-50" w:rightChars="0"/>
                              <w:rPr>
                                <w:rFonts w:hint="default"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3.呼吁全社会共同行动，为保护儿童权利勇于担起重任。</w:t>
                            </w:r>
                          </w:p>
                          <w:p w14:paraId="4FCC55FE">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p>
                          <w:p w14:paraId="17F662ED">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p>
                        </w:txbxContent>
                      </v:textbox>
                    </v:shape>
                  </w:pict>
                </mc:Fallback>
              </mc:AlternateContent>
            </w:r>
          </w:p>
          <w:p w14:paraId="615DD459">
            <w:pPr>
              <w:keepNext w:val="0"/>
              <w:keepLines w:val="0"/>
              <w:pageBreakBefore w:val="0"/>
              <w:widowControl w:val="0"/>
              <w:numPr>
                <w:ilvl w:val="0"/>
                <w:numId w:val="0"/>
              </w:numPr>
              <w:kinsoku/>
              <w:wordWrap/>
              <w:overflowPunct/>
              <w:topLinePunct w:val="0"/>
              <w:autoSpaceDE/>
              <w:autoSpaceDN/>
              <w:bidi w:val="0"/>
              <w:adjustRightInd/>
              <w:snapToGrid/>
              <w:ind w:right="-51" w:rightChars="0" w:firstLine="480" w:firstLineChars="200"/>
              <w:jc w:val="both"/>
              <w:textAlignment w:val="auto"/>
              <w:rPr>
                <w:rFonts w:hint="default" w:ascii="仿宋_GB2312" w:hAnsi="宋体" w:eastAsia="仿宋_GB2312"/>
                <w:b w:val="0"/>
                <w:bCs/>
                <w:szCs w:val="21"/>
                <w:lang w:val="en-US" w:eastAsia="zh-CN"/>
              </w:rPr>
            </w:pPr>
          </w:p>
          <w:p w14:paraId="3C96F5C7">
            <w:pPr>
              <w:keepNext w:val="0"/>
              <w:keepLines w:val="0"/>
              <w:pageBreakBefore w:val="0"/>
              <w:widowControl w:val="0"/>
              <w:numPr>
                <w:ilvl w:val="0"/>
                <w:numId w:val="0"/>
              </w:numPr>
              <w:kinsoku/>
              <w:wordWrap/>
              <w:overflowPunct/>
              <w:topLinePunct w:val="0"/>
              <w:autoSpaceDE/>
              <w:autoSpaceDN/>
              <w:bidi w:val="0"/>
              <w:adjustRightInd/>
              <w:snapToGrid/>
              <w:ind w:right="-51" w:rightChars="0" w:firstLine="480" w:firstLineChars="200"/>
              <w:jc w:val="both"/>
              <w:textAlignment w:val="auto"/>
              <w:rPr>
                <w:rFonts w:hint="default" w:ascii="仿宋_GB2312" w:hAnsi="宋体" w:eastAsia="仿宋_GB2312"/>
                <w:b w:val="0"/>
                <w:bCs/>
                <w:szCs w:val="21"/>
                <w:lang w:val="en-US" w:eastAsia="zh-CN"/>
              </w:rPr>
            </w:pPr>
          </w:p>
          <w:p w14:paraId="014120E0">
            <w:pPr>
              <w:keepNext w:val="0"/>
              <w:keepLines w:val="0"/>
              <w:pageBreakBefore w:val="0"/>
              <w:widowControl w:val="0"/>
              <w:numPr>
                <w:ilvl w:val="0"/>
                <w:numId w:val="0"/>
              </w:numPr>
              <w:kinsoku/>
              <w:wordWrap/>
              <w:overflowPunct/>
              <w:topLinePunct w:val="0"/>
              <w:autoSpaceDE/>
              <w:autoSpaceDN/>
              <w:bidi w:val="0"/>
              <w:adjustRightInd/>
              <w:snapToGrid/>
              <w:ind w:right="-51" w:rightChars="0" w:firstLine="480" w:firstLineChars="200"/>
              <w:jc w:val="both"/>
              <w:textAlignment w:val="auto"/>
              <w:rPr>
                <w:rFonts w:hint="default" w:ascii="仿宋_GB2312" w:hAnsi="宋体" w:eastAsia="仿宋_GB2312"/>
                <w:b w:val="0"/>
                <w:bCs/>
                <w:szCs w:val="21"/>
                <w:lang w:val="en-US" w:eastAsia="zh-CN"/>
              </w:rPr>
            </w:pPr>
          </w:p>
          <w:p w14:paraId="12656D67">
            <w:pPr>
              <w:pStyle w:val="15"/>
              <w:widowControl w:val="0"/>
              <w:numPr>
                <w:ilvl w:val="0"/>
                <w:numId w:val="0"/>
              </w:numPr>
              <w:ind w:left="-50" w:leftChars="0" w:right="-50" w:rightChars="0"/>
              <w:jc w:val="both"/>
              <w:rPr>
                <w:rFonts w:hint="eastAsia" w:ascii="宋体" w:hAnsi="宋体" w:eastAsia="宋体" w:cs="宋体"/>
                <w:sz w:val="24"/>
                <w:szCs w:val="28"/>
                <w:lang w:val="en-US" w:eastAsia="zh-CN"/>
              </w:rPr>
            </w:pPr>
          </w:p>
          <w:p w14:paraId="6B07D0A7">
            <w:pPr>
              <w:keepNext w:val="0"/>
              <w:keepLines w:val="0"/>
              <w:pageBreakBefore w:val="0"/>
              <w:widowControl w:val="0"/>
              <w:numPr>
                <w:ilvl w:val="0"/>
                <w:numId w:val="0"/>
              </w:numPr>
              <w:kinsoku/>
              <w:wordWrap/>
              <w:overflowPunct/>
              <w:topLinePunct w:val="0"/>
              <w:autoSpaceDE/>
              <w:autoSpaceDN/>
              <w:bidi w:val="0"/>
              <w:adjustRightInd w:val="0"/>
              <w:snapToGrid/>
              <w:ind w:right="-51" w:rightChars="0"/>
              <w:jc w:val="both"/>
              <w:textAlignment w:val="auto"/>
              <w:rPr>
                <w:rFonts w:hint="eastAsia" w:ascii="仿宋_GB2312" w:hAnsi="宋体" w:eastAsia="仿宋_GB2312"/>
                <w:b w:val="0"/>
                <w:bCs/>
                <w:szCs w:val="21"/>
                <w:lang w:val="en-US" w:eastAsia="zh-CN"/>
              </w:rPr>
            </w:pPr>
            <w:r>
              <w:rPr>
                <w:rFonts w:hint="eastAsia" w:ascii="宋体" w:hAnsi="宋体" w:eastAsia="宋体" w:cs="宋体"/>
                <w:bCs/>
                <w:szCs w:val="21"/>
                <w:lang w:val="en-US" w:eastAsia="zh-CN"/>
              </w:rPr>
              <w:t>知识点二：</w:t>
            </w:r>
            <w:r>
              <w:rPr>
                <w:rFonts w:hint="eastAsia" w:ascii="仿宋_GB2312" w:hAnsi="宋体" w:eastAsia="仿宋_GB2312"/>
                <w:b w:val="0"/>
                <w:bCs/>
                <w:szCs w:val="21"/>
                <w:lang w:val="en-US" w:eastAsia="zh-CN"/>
              </w:rPr>
              <w:t>《儿童权利公约》中的儿童最大利益原则</w:t>
            </w:r>
          </w:p>
          <w:p w14:paraId="7AA56763">
            <w:pPr>
              <w:pStyle w:val="15"/>
              <w:widowControl w:val="0"/>
              <w:numPr>
                <w:ilvl w:val="0"/>
                <w:numId w:val="0"/>
              </w:numPr>
              <w:ind w:left="-50" w:leftChars="0" w:right="-50" w:rightChars="0"/>
              <w:jc w:val="both"/>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【教师活动】</w:t>
            </w:r>
          </w:p>
          <w:p w14:paraId="3B4B9294">
            <w:pPr>
              <w:keepNext w:val="0"/>
              <w:keepLines w:val="0"/>
              <w:pageBreakBefore w:val="0"/>
              <w:widowControl w:val="0"/>
              <w:numPr>
                <w:ilvl w:val="0"/>
                <w:numId w:val="0"/>
              </w:numPr>
              <w:kinsoku/>
              <w:wordWrap/>
              <w:overflowPunct/>
              <w:topLinePunct w:val="0"/>
              <w:autoSpaceDE/>
              <w:autoSpaceDN/>
              <w:bidi w:val="0"/>
              <w:adjustRightInd w:val="0"/>
              <w:snapToGrid/>
              <w:ind w:right="-51" w:rightChars="0" w:firstLine="482" w:firstLineChars="200"/>
              <w:jc w:val="both"/>
              <w:textAlignment w:val="auto"/>
              <w:rPr>
                <w:rFonts w:hint="eastAsia" w:ascii="仿宋_GB2312" w:hAnsi="宋体" w:eastAsia="仿宋_GB2312"/>
                <w:b w:val="0"/>
                <w:bCs/>
                <w:szCs w:val="21"/>
                <w:lang w:val="en-US" w:eastAsia="zh-CN"/>
              </w:rPr>
            </w:pPr>
            <w:r>
              <w:rPr>
                <w:rFonts w:hint="eastAsia" w:ascii="仿宋_GB2312" w:hAnsi="宋体" w:eastAsia="仿宋_GB2312"/>
                <w:b/>
                <w:bCs w:val="0"/>
                <w:szCs w:val="21"/>
                <w:lang w:val="en-US" w:eastAsia="zh-CN"/>
              </w:rPr>
              <w:t>儿童最大利益原则(第3条)，</w:t>
            </w:r>
            <w:r>
              <w:rPr>
                <w:rFonts w:hint="eastAsia" w:ascii="仿宋_GB2312" w:hAnsi="宋体" w:eastAsia="仿宋_GB2312"/>
                <w:b w:val="0"/>
                <w:bCs/>
                <w:szCs w:val="21"/>
                <w:lang w:val="en-US" w:eastAsia="zh-CN"/>
              </w:rPr>
              <w:t>涉及儿童的一切行为，必须首先考虑儿童的最大利益。</w:t>
            </w:r>
          </w:p>
          <w:p w14:paraId="6722071C">
            <w:pPr>
              <w:widowControl w:val="0"/>
              <w:numPr>
                <w:ilvl w:val="0"/>
                <w:numId w:val="0"/>
              </w:numPr>
              <w:ind w:right="-50" w:rightChars="0"/>
              <w:jc w:val="center"/>
              <w:rPr>
                <w:rFonts w:hint="default" w:ascii="仿宋_GB2312" w:hAnsi="宋体" w:eastAsia="仿宋_GB2312"/>
                <w:b w:val="0"/>
                <w:bCs/>
                <w:szCs w:val="21"/>
                <w:lang w:val="en-US" w:eastAsia="zh-CN"/>
              </w:rPr>
            </w:pPr>
            <w:r>
              <w:rPr>
                <w:rFonts w:hint="default" w:ascii="仿宋_GB2312" w:hAnsi="宋体" w:eastAsia="仿宋_GB2312"/>
                <w:b/>
                <w:bCs w:val="0"/>
                <w:szCs w:val="21"/>
                <w:lang w:val="en-US" w:eastAsia="zh-CN"/>
              </w:rPr>
              <w:t>案例</w:t>
            </w:r>
            <w:r>
              <w:rPr>
                <w:rFonts w:hint="eastAsia" w:ascii="仿宋_GB2312" w:hAnsi="宋体" w:eastAsia="仿宋_GB2312"/>
                <w:b/>
                <w:bCs w:val="0"/>
                <w:szCs w:val="21"/>
                <w:lang w:val="en-US" w:eastAsia="zh-CN"/>
              </w:rPr>
              <w:t>《</w:t>
            </w:r>
            <w:r>
              <w:rPr>
                <w:rFonts w:hint="default" w:ascii="仿宋_GB2312" w:hAnsi="宋体" w:eastAsia="仿宋_GB2312"/>
                <w:b/>
                <w:bCs w:val="0"/>
                <w:szCs w:val="21"/>
                <w:lang w:val="en-US" w:eastAsia="zh-CN"/>
              </w:rPr>
              <w:t>春游时的意外</w:t>
            </w:r>
            <w:r>
              <w:rPr>
                <w:rFonts w:hint="eastAsia" w:ascii="仿宋_GB2312" w:hAnsi="宋体" w:eastAsia="仿宋_GB2312"/>
                <w:b/>
                <w:bCs w:val="0"/>
                <w:szCs w:val="21"/>
                <w:lang w:val="en-US" w:eastAsia="zh-CN"/>
              </w:rPr>
              <w:t>》</w:t>
            </w:r>
          </w:p>
          <w:p w14:paraId="48BD2F41">
            <w:pPr>
              <w:widowControl w:val="0"/>
              <w:numPr>
                <w:ilvl w:val="0"/>
                <w:numId w:val="0"/>
              </w:numPr>
              <w:ind w:right="-50" w:rightChars="0" w:firstLine="480" w:firstLineChars="200"/>
              <w:jc w:val="both"/>
              <w:rPr>
                <w:rFonts w:hint="default" w:ascii="仿宋_GB2312" w:hAnsi="宋体" w:eastAsia="仿宋_GB2312"/>
                <w:b w:val="0"/>
                <w:bCs/>
                <w:szCs w:val="21"/>
                <w:lang w:val="en-US" w:eastAsia="zh-CN"/>
              </w:rPr>
            </w:pPr>
            <w:r>
              <w:rPr>
                <w:rFonts w:hint="default" w:ascii="仿宋_GB2312" w:hAnsi="宋体" w:eastAsia="仿宋_GB2312"/>
                <w:b w:val="0"/>
                <w:bCs/>
                <w:szCs w:val="21"/>
                <w:lang w:val="en-US" w:eastAsia="zh-CN"/>
              </w:rPr>
              <w:t>一某幼儿园是一家公立幼儿园，日常管理工作比较规范。但是在一次组织小朋友们春游时，还是发生了意外:小朋友们乘坐的一辆包租的旅游车发生了车祸。导致2名幼儿受重伤。由于幼儿园存在过错，为此付出了高额的赔偿金。结果从那以后，为避免意外事件的再次发生，幼儿园决定减少幼儿的户外活动和游戏的时间，索性把幼儿整天闷在课室</w:t>
            </w:r>
            <w:r>
              <w:rPr>
                <w:rFonts w:hint="eastAsia" w:ascii="仿宋_GB2312" w:hAnsi="宋体" w:eastAsia="仿宋_GB2312"/>
                <w:b w:val="0"/>
                <w:bCs/>
                <w:szCs w:val="21"/>
                <w:lang w:val="en-US" w:eastAsia="zh-CN"/>
              </w:rPr>
              <w:t>。</w:t>
            </w:r>
          </w:p>
          <w:p w14:paraId="072CD5E0">
            <w:pPr>
              <w:widowControl w:val="0"/>
              <w:numPr>
                <w:ilvl w:val="0"/>
                <w:numId w:val="0"/>
              </w:numPr>
              <w:ind w:right="-50" w:rightChars="0" w:firstLine="482" w:firstLineChars="200"/>
              <w:jc w:val="both"/>
              <w:rPr>
                <w:rFonts w:hint="default" w:ascii="仿宋_GB2312" w:hAnsi="宋体" w:eastAsia="仿宋_GB2312"/>
                <w:b/>
                <w:bCs w:val="0"/>
                <w:szCs w:val="21"/>
                <w:lang w:val="en-US" w:eastAsia="zh-CN"/>
              </w:rPr>
            </w:pPr>
            <w:r>
              <w:rPr>
                <w:rFonts w:hint="default" w:ascii="仿宋_GB2312" w:hAnsi="宋体" w:eastAsia="仿宋_GB2312"/>
                <w:b/>
                <w:bCs w:val="0"/>
                <w:szCs w:val="21"/>
                <w:lang w:val="en-US" w:eastAsia="zh-CN"/>
              </w:rPr>
              <w:t>讨论:这种做法</w:t>
            </w:r>
            <w:r>
              <w:rPr>
                <w:rFonts w:hint="eastAsia" w:ascii="仿宋_GB2312" w:hAnsi="宋体" w:eastAsia="仿宋_GB2312"/>
                <w:b/>
                <w:bCs w:val="0"/>
                <w:szCs w:val="21"/>
                <w:lang w:val="en-US" w:eastAsia="zh-CN"/>
              </w:rPr>
              <w:t>倒是保险了，但是否合法呢？</w:t>
            </w:r>
            <w:r>
              <w:rPr>
                <w:rFonts w:hint="default" w:ascii="仿宋_GB2312" w:hAnsi="宋体" w:eastAsia="仿宋_GB2312"/>
                <w:b/>
                <w:bCs w:val="0"/>
                <w:szCs w:val="21"/>
                <w:lang w:val="en-US" w:eastAsia="zh-CN"/>
              </w:rPr>
              <w:t>请用《儿童权利公约》分析该幼儿园的做法并提出建议。</w:t>
            </w:r>
          </w:p>
          <w:p w14:paraId="4293CA49">
            <w:pPr>
              <w:widowControl w:val="0"/>
              <w:numPr>
                <w:ilvl w:val="0"/>
                <w:numId w:val="0"/>
              </w:numPr>
              <w:ind w:right="-50" w:rightChars="0" w:firstLine="482" w:firstLineChars="200"/>
              <w:jc w:val="both"/>
              <w:rPr>
                <w:rFonts w:hint="default" w:ascii="仿宋_GB2312" w:hAnsi="宋体" w:eastAsia="仿宋_GB2312"/>
                <w:b/>
                <w:bCs w:val="0"/>
                <w:szCs w:val="21"/>
                <w:lang w:val="en-US" w:eastAsia="zh-CN"/>
              </w:rPr>
            </w:pPr>
            <w:r>
              <w:rPr>
                <w:rFonts w:hint="default" w:ascii="仿宋_GB2312" w:hAnsi="宋体" w:eastAsia="仿宋_GB2312"/>
                <w:b/>
                <w:bCs w:val="0"/>
                <w:szCs w:val="21"/>
                <w:lang w:val="en-US" w:eastAsia="zh-CN"/>
              </w:rPr>
              <w:t>[</w:t>
            </w:r>
            <w:r>
              <w:rPr>
                <w:rFonts w:hint="eastAsia" w:ascii="仿宋_GB2312" w:hAnsi="宋体" w:eastAsia="仿宋_GB2312"/>
                <w:b/>
                <w:bCs w:val="0"/>
                <w:szCs w:val="21"/>
                <w:lang w:val="en-US" w:eastAsia="zh-CN"/>
              </w:rPr>
              <w:t>评析</w:t>
            </w:r>
            <w:r>
              <w:rPr>
                <w:rFonts w:hint="default" w:ascii="仿宋_GB2312" w:hAnsi="宋体" w:eastAsia="仿宋_GB2312"/>
                <w:b/>
                <w:bCs w:val="0"/>
                <w:szCs w:val="21"/>
                <w:lang w:val="en-US" w:eastAsia="zh-CN"/>
              </w:rPr>
              <w:t>]</w:t>
            </w:r>
          </w:p>
          <w:p w14:paraId="62C9D1C0">
            <w:pPr>
              <w:widowControl w:val="0"/>
              <w:numPr>
                <w:ilvl w:val="0"/>
                <w:numId w:val="0"/>
              </w:numPr>
              <w:ind w:right="-50" w:rightChars="0" w:firstLine="480" w:firstLineChars="200"/>
              <w:jc w:val="both"/>
              <w:rPr>
                <w:rFonts w:hint="default" w:ascii="仿宋_GB2312" w:hAnsi="宋体" w:eastAsia="仿宋_GB2312"/>
                <w:b w:val="0"/>
                <w:bCs/>
                <w:szCs w:val="21"/>
                <w:lang w:val="en-US" w:eastAsia="zh-CN"/>
              </w:rPr>
            </w:pPr>
            <w:r>
              <w:rPr>
                <w:rFonts w:hint="default" w:ascii="仿宋_GB2312" w:hAnsi="宋体" w:eastAsia="仿宋_GB2312"/>
                <w:b w:val="0"/>
                <w:bCs/>
                <w:szCs w:val="21"/>
                <w:lang w:val="en-US" w:eastAsia="zh-CN"/>
              </w:rPr>
              <w:t>本案涉及儿童法律权利的保障问题</w:t>
            </w:r>
          </w:p>
          <w:p w14:paraId="1B92C504">
            <w:pPr>
              <w:widowControl w:val="0"/>
              <w:numPr>
                <w:ilvl w:val="0"/>
                <w:numId w:val="0"/>
              </w:numPr>
              <w:ind w:right="-50" w:rightChars="0" w:firstLine="480" w:firstLineChars="200"/>
              <w:jc w:val="both"/>
              <w:rPr>
                <w:rFonts w:hint="default" w:ascii="仿宋_GB2312" w:hAnsi="宋体" w:eastAsia="仿宋_GB2312"/>
                <w:b w:val="0"/>
                <w:bCs/>
                <w:szCs w:val="21"/>
                <w:lang w:val="en-US" w:eastAsia="zh-CN"/>
              </w:rPr>
            </w:pPr>
            <w:r>
              <w:rPr>
                <w:rFonts w:hint="default" w:ascii="仿宋_GB2312" w:hAnsi="宋体" w:eastAsia="仿宋_GB2312"/>
                <w:b w:val="0"/>
                <w:bCs/>
                <w:szCs w:val="21"/>
                <w:lang w:val="en-US" w:eastAsia="zh-CN"/>
              </w:rPr>
              <w:t>幼儿园应向幼儿提供规范、安全的学习条件和生活环境，不能因为担心出意外就限制或减少孩子们的户外活动时间。《儿童权利公约》第三十一条规定，儿童应有时间休息和游戏，有同等的机会参加文化和艺术活动。幼儿园不得以安全为理由，减少和限制孩子们的活动。《儿童权利公约》的四项基本原则之一就是“儿童最大利益原则”，涉及儿童的一切行为，必须首先考虑儿童的最大利益。</w:t>
            </w:r>
          </w:p>
          <w:p w14:paraId="1B8FAD75">
            <w:pPr>
              <w:widowControl w:val="0"/>
              <w:numPr>
                <w:ilvl w:val="0"/>
                <w:numId w:val="0"/>
              </w:numPr>
              <w:ind w:right="-50" w:rightChars="0" w:firstLine="480" w:firstLineChars="200"/>
              <w:jc w:val="both"/>
              <w:rPr>
                <w:rFonts w:hint="default" w:ascii="仿宋_GB2312" w:hAnsi="宋体" w:eastAsia="仿宋_GB2312"/>
                <w:b w:val="0"/>
                <w:bCs/>
                <w:szCs w:val="21"/>
                <w:lang w:val="en-US" w:eastAsia="zh-CN"/>
              </w:rPr>
            </w:pPr>
            <w:r>
              <w:rPr>
                <w:rFonts w:hint="default" w:ascii="仿宋_GB2312" w:hAnsi="宋体" w:eastAsia="仿宋_GB2312"/>
                <w:b w:val="0"/>
                <w:bCs/>
                <w:szCs w:val="21"/>
                <w:lang w:val="en-US" w:eastAsia="zh-CN"/>
              </w:rPr>
              <w:t>基于对幼儿权利的保护，可向该幼儿园提出以下建议:① 幼儿园应为幼儿提供规范、安全的室外活动环境。② 幼儿园在组织户外活动时，应对幼儿进行必要的安全教育和能力培养。</w:t>
            </w:r>
          </w:p>
          <w:p w14:paraId="6AB5AA90">
            <w:pPr>
              <w:pStyle w:val="15"/>
              <w:widowControl w:val="0"/>
              <w:numPr>
                <w:ilvl w:val="0"/>
                <w:numId w:val="0"/>
              </w:numPr>
              <w:ind w:left="-50" w:leftChars="0" w:right="-50" w:rightChars="0"/>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环节三：知识总结</w:t>
            </w:r>
          </w:p>
          <w:p w14:paraId="0F062A74">
            <w:pPr>
              <w:pStyle w:val="15"/>
              <w:widowControl w:val="0"/>
              <w:numPr>
                <w:ilvl w:val="0"/>
                <w:numId w:val="0"/>
              </w:numPr>
              <w:ind w:left="-50" w:leftChars="0" w:right="-50" w:rightChars="0"/>
              <w:jc w:val="both"/>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【教师活动】</w:t>
            </w:r>
          </w:p>
          <w:p w14:paraId="0756A4A0">
            <w:pPr>
              <w:keepNext w:val="0"/>
              <w:keepLines w:val="0"/>
              <w:pageBreakBefore w:val="0"/>
              <w:widowControl w:val="0"/>
              <w:numPr>
                <w:ilvl w:val="0"/>
                <w:numId w:val="0"/>
              </w:numPr>
              <w:kinsoku/>
              <w:wordWrap/>
              <w:overflowPunct/>
              <w:topLinePunct w:val="0"/>
              <w:autoSpaceDE/>
              <w:autoSpaceDN/>
              <w:bidi w:val="0"/>
              <w:adjustRightInd w:val="0"/>
              <w:snapToGrid/>
              <w:ind w:right="-51" w:rightChars="0"/>
              <w:jc w:val="both"/>
              <w:textAlignment w:val="auto"/>
              <w:rPr>
                <w:rFonts w:hint="default" w:ascii="仿宋_GB2312" w:hAnsi="宋体" w:eastAsia="仿宋_GB2312"/>
                <w:b w:val="0"/>
                <w:bCs/>
                <w:szCs w:val="21"/>
                <w:lang w:val="en-US" w:eastAsia="zh-CN"/>
              </w:rPr>
            </w:pPr>
            <w:r>
              <w:rPr>
                <w:rFonts w:hint="eastAsia" w:ascii="仿宋_GB2312" w:hAnsi="宋体" w:eastAsia="仿宋_GB2312"/>
                <w:b/>
                <w:bCs w:val="0"/>
                <w:szCs w:val="21"/>
                <w:lang w:val="en-US" w:eastAsia="zh-CN"/>
              </w:rPr>
              <w:t>教师小结</w:t>
            </w:r>
            <w:r>
              <w:rPr>
                <w:rFonts w:hint="eastAsia" w:ascii="方正仿宋_GB2312" w:hAnsi="方正仿宋_GB2312" w:eastAsia="方正仿宋_GB2312" w:cs="方正仿宋_GB2312"/>
                <w:b w:val="0"/>
                <w:bCs/>
                <w:szCs w:val="21"/>
                <w:lang w:val="en-US" w:eastAsia="zh-CN"/>
              </w:rPr>
              <w:t>：</w:t>
            </w:r>
            <w:r>
              <w:rPr>
                <w:rFonts w:hint="eastAsia" w:ascii="仿宋_GB2312" w:hAnsi="宋体" w:eastAsia="仿宋_GB2312"/>
                <w:b w:val="0"/>
                <w:bCs/>
                <w:szCs w:val="21"/>
                <w:lang w:val="en-US" w:eastAsia="zh-CN"/>
              </w:rPr>
              <w:t>《儿童权利公约》产生的意义、儿童最大利益原则。</w:t>
            </w:r>
          </w:p>
          <w:p w14:paraId="792B60CF">
            <w:pPr>
              <w:widowControl w:val="0"/>
              <w:jc w:val="both"/>
              <w:rPr>
                <w:rFonts w:hint="eastAsia" w:ascii="方正仿宋_GB2312" w:hAnsi="方正仿宋_GB2312" w:eastAsia="方正仿宋_GB2312" w:cs="方正仿宋_GB2312"/>
                <w:b w:val="0"/>
                <w:bCs/>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135890</wp:posOffset>
                      </wp:positionV>
                      <wp:extent cx="5349875" cy="556260"/>
                      <wp:effectExtent l="4445" t="4445" r="8255" b="10795"/>
                      <wp:wrapNone/>
                      <wp:docPr id="9" name="文本框 9"/>
                      <wp:cNvGraphicFramePr/>
                      <a:graphic xmlns:a="http://schemas.openxmlformats.org/drawingml/2006/main">
                        <a:graphicData uri="http://schemas.microsoft.com/office/word/2010/wordprocessingShape">
                          <wps:wsp>
                            <wps:cNvSpPr txBox="1"/>
                            <wps:spPr>
                              <a:xfrm>
                                <a:off x="0" y="0"/>
                                <a:ext cx="5349875" cy="556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4F4C46">
                                  <w:pPr>
                                    <w:numPr>
                                      <w:ilvl w:val="0"/>
                                      <w:numId w:val="0"/>
                                    </w:numPr>
                                    <w:ind w:right="-50" w:rightChars="0"/>
                                    <w:rPr>
                                      <w:rFonts w:hint="eastAsia" w:ascii="仿宋_GB2312" w:hAnsi="宋体" w:eastAsia="仿宋_GB2312"/>
                                      <w:b w:val="0"/>
                                      <w:bCs/>
                                      <w:szCs w:val="21"/>
                                      <w:lang w:val="en-US" w:eastAsia="zh-CN"/>
                                    </w:rPr>
                                  </w:pPr>
                                  <w:r>
                                    <w:rPr>
                                      <w:rFonts w:hint="eastAsia" w:ascii="仿宋_GB2312" w:hAnsi="宋体" w:eastAsia="仿宋_GB2312"/>
                                      <w:b w:val="0"/>
                                      <w:bCs/>
                                      <w:szCs w:val="21"/>
                                      <w:lang w:val="en-US" w:eastAsia="zh-CN"/>
                                    </w:rPr>
                                    <w:t>设计意图：</w:t>
                                  </w:r>
                                </w:p>
                                <w:p w14:paraId="0CF7F54F">
                                  <w:pPr>
                                    <w:numPr>
                                      <w:ilvl w:val="0"/>
                                      <w:numId w:val="0"/>
                                    </w:numPr>
                                    <w:ind w:right="-50" w:rightChars="0"/>
                                  </w:pPr>
                                  <w:r>
                                    <w:rPr>
                                      <w:rFonts w:hint="eastAsia" w:ascii="仿宋_GB2312" w:hAnsi="宋体" w:eastAsia="仿宋_GB2312"/>
                                      <w:b w:val="0"/>
                                      <w:bCs/>
                                      <w:szCs w:val="21"/>
                                      <w:lang w:val="en-US" w:eastAsia="zh-CN"/>
                                    </w:rPr>
                                    <w:t>知识点总结，梳理本次课的重点。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0.7pt;height:43.8pt;width:421.25pt;z-index:251661312;mso-width-relative:page;mso-height-relative:page;" fillcolor="#FFFFFF [3201]" filled="t" stroked="t" coordsize="21600,21600" o:gfxdata="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vQslN0wAA&#10;AAcBAAAPAAAAAAAAAAEAIAAAACIAAABkcnMvZG93bnJldi54bWxQSwECFAAUAAAACACHTuJAlESg&#10;c1wCAAC3BAAADgAAAAAAAAABACAAAAAiAQAAZHJzL2Uyb0RvYy54bWxQSwUGAAAAAAYABgBZAQAA&#10;8AUAAAAA&#10;">
                      <v:fill on="t" focussize="0,0"/>
                      <v:stroke weight="0.5pt" color="#000000 [3204]" joinstyle="round"/>
                      <v:imagedata o:title=""/>
                      <o:lock v:ext="edit" aspectratio="f"/>
                      <v:textbox>
                        <w:txbxContent>
                          <w:p w14:paraId="314F4C46">
                            <w:pPr>
                              <w:numPr>
                                <w:ilvl w:val="0"/>
                                <w:numId w:val="0"/>
                              </w:numPr>
                              <w:ind w:right="-50" w:rightChars="0"/>
                              <w:rPr>
                                <w:rFonts w:hint="eastAsia" w:ascii="仿宋_GB2312" w:hAnsi="宋体" w:eastAsia="仿宋_GB2312"/>
                                <w:b w:val="0"/>
                                <w:bCs/>
                                <w:szCs w:val="21"/>
                                <w:lang w:val="en-US" w:eastAsia="zh-CN"/>
                              </w:rPr>
                            </w:pPr>
                            <w:r>
                              <w:rPr>
                                <w:rFonts w:hint="eastAsia" w:ascii="仿宋_GB2312" w:hAnsi="宋体" w:eastAsia="仿宋_GB2312"/>
                                <w:b w:val="0"/>
                                <w:bCs/>
                                <w:szCs w:val="21"/>
                                <w:lang w:val="en-US" w:eastAsia="zh-CN"/>
                              </w:rPr>
                              <w:t>设计意图：</w:t>
                            </w:r>
                          </w:p>
                          <w:p w14:paraId="0CF7F54F">
                            <w:pPr>
                              <w:numPr>
                                <w:ilvl w:val="0"/>
                                <w:numId w:val="0"/>
                              </w:numPr>
                              <w:ind w:right="-50" w:rightChars="0"/>
                            </w:pPr>
                            <w:r>
                              <w:rPr>
                                <w:rFonts w:hint="eastAsia" w:ascii="仿宋_GB2312" w:hAnsi="宋体" w:eastAsia="仿宋_GB2312"/>
                                <w:b w:val="0"/>
                                <w:bCs/>
                                <w:szCs w:val="21"/>
                                <w:lang w:val="en-US" w:eastAsia="zh-CN"/>
                              </w:rPr>
                              <w:t>知识点总结，梳理本次课的重点。</w:t>
                            </w:r>
                          </w:p>
                        </w:txbxContent>
                      </v:textbox>
                    </v:shape>
                  </w:pict>
                </mc:Fallback>
              </mc:AlternateContent>
            </w:r>
          </w:p>
          <w:p w14:paraId="3276B8CD">
            <w:pPr>
              <w:widowControl w:val="0"/>
              <w:jc w:val="both"/>
              <w:rPr>
                <w:rFonts w:hint="eastAsia" w:ascii="方正仿宋_GB2312" w:hAnsi="方正仿宋_GB2312" w:eastAsia="方正仿宋_GB2312" w:cs="方正仿宋_GB2312"/>
                <w:b w:val="0"/>
                <w:bCs/>
                <w:lang w:val="en-US" w:eastAsia="zh-CN"/>
              </w:rPr>
            </w:pPr>
          </w:p>
          <w:p w14:paraId="6DCB056D">
            <w:pPr>
              <w:widowControl w:val="0"/>
              <w:jc w:val="both"/>
              <w:rPr>
                <w:rFonts w:hint="eastAsia" w:ascii="方正仿宋_GB2312" w:hAnsi="方正仿宋_GB2312" w:eastAsia="方正仿宋_GB2312" w:cs="方正仿宋_GB2312"/>
                <w:b w:val="0"/>
                <w:bCs/>
                <w:lang w:val="en-US" w:eastAsia="zh-CN"/>
              </w:rPr>
            </w:pPr>
          </w:p>
          <w:p w14:paraId="33501829">
            <w:pPr>
              <w:widowControl w:val="0"/>
              <w:jc w:val="both"/>
              <w:rPr>
                <w:rFonts w:hint="eastAsia" w:ascii="方正仿宋_GB2312" w:hAnsi="方正仿宋_GB2312" w:eastAsia="方正仿宋_GB2312" w:cs="方正仿宋_GB2312"/>
                <w:b w:val="0"/>
                <w:bCs/>
                <w:lang w:val="en-US" w:eastAsia="zh-CN"/>
              </w:rPr>
            </w:pPr>
          </w:p>
          <w:p w14:paraId="4AC6CFE0">
            <w:pPr>
              <w:pStyle w:val="15"/>
              <w:widowControl w:val="0"/>
              <w:numPr>
                <w:ilvl w:val="0"/>
                <w:numId w:val="0"/>
              </w:numPr>
              <w:ind w:left="-50" w:leftChars="0" w:right="-50" w:rightChars="0"/>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环节四：布置作业</w:t>
            </w:r>
          </w:p>
          <w:p w14:paraId="6717E95F">
            <w:pPr>
              <w:widowControl w:val="0"/>
              <w:jc w:val="both"/>
              <w:rPr>
                <w:rFonts w:hint="eastAsia" w:ascii="仿宋_GB2312" w:hAnsi="宋体" w:eastAsia="仿宋_GB2312"/>
                <w:b w:val="0"/>
                <w:bCs/>
                <w:szCs w:val="21"/>
                <w:lang w:val="en-US" w:eastAsia="zh-CN"/>
              </w:rPr>
            </w:pPr>
            <w:r>
              <w:rPr>
                <w:rFonts w:hint="eastAsia" w:ascii="仿宋_GB2312" w:hAnsi="宋体" w:eastAsia="仿宋_GB2312"/>
                <w:b w:val="0"/>
                <w:bCs/>
                <w:szCs w:val="21"/>
                <w:lang w:val="en-US" w:eastAsia="zh-CN"/>
              </w:rPr>
              <w:t>作业</w:t>
            </w:r>
          </w:p>
          <w:p w14:paraId="5F257D44">
            <w:pPr>
              <w:widowControl w:val="0"/>
              <w:jc w:val="both"/>
              <w:rPr>
                <w:rFonts w:hint="default" w:ascii="仿宋_GB2312" w:hAnsi="宋体" w:eastAsia="仿宋_GB2312"/>
                <w:b w:val="0"/>
                <w:bCs/>
                <w:szCs w:val="21"/>
                <w:lang w:val="en-US" w:eastAsia="zh-CN"/>
              </w:rPr>
            </w:pPr>
            <w:r>
              <w:rPr>
                <w:rFonts w:hint="eastAsia" w:ascii="仿宋_GB2312" w:hAnsi="宋体" w:eastAsia="仿宋_GB2312"/>
                <w:b w:val="0"/>
                <w:bCs/>
                <w:szCs w:val="21"/>
                <w:lang w:val="en-US" w:eastAsia="zh-CN"/>
              </w:rPr>
              <w:t>以儿童版《儿童权利公约》为原型，每个小组设计一份关于儿童权益保护之儿童最大利益原则的主题海报，下节课为大家展示说明设计理念，介绍小组作品。</w:t>
            </w:r>
          </w:p>
          <w:p w14:paraId="47DBEDAE">
            <w:pPr>
              <w:widowControl w:val="0"/>
              <w:jc w:val="both"/>
              <w:rPr>
                <w:rFonts w:hint="default" w:ascii="方正仿宋_GB2312" w:hAnsi="方正仿宋_GB2312" w:eastAsia="方正仿宋_GB2312" w:cs="方正仿宋_GB2312"/>
                <w:b w:val="0"/>
                <w:bCs/>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-18415</wp:posOffset>
                      </wp:positionH>
                      <wp:positionV relativeFrom="paragraph">
                        <wp:posOffset>132715</wp:posOffset>
                      </wp:positionV>
                      <wp:extent cx="5349875" cy="545465"/>
                      <wp:effectExtent l="4445" t="4445" r="8255" b="12065"/>
                      <wp:wrapNone/>
                      <wp:docPr id="10" name="文本框 10"/>
                      <wp:cNvGraphicFramePr/>
                      <a:graphic xmlns:a="http://schemas.openxmlformats.org/drawingml/2006/main">
                        <a:graphicData uri="http://schemas.microsoft.com/office/word/2010/wordprocessingShape">
                          <wps:wsp>
                            <wps:cNvSpPr txBox="1"/>
                            <wps:spPr>
                              <a:xfrm>
                                <a:off x="0" y="0"/>
                                <a:ext cx="5349875" cy="545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E1D0A5">
                                  <w:pPr>
                                    <w:numPr>
                                      <w:ilvl w:val="0"/>
                                      <w:numId w:val="0"/>
                                    </w:numPr>
                                    <w:ind w:right="-50" w:rightChars="0"/>
                                    <w:rPr>
                                      <w:rFonts w:hint="eastAsia" w:ascii="仿宋_GB2312" w:hAnsi="宋体" w:eastAsia="仿宋_GB2312"/>
                                      <w:b w:val="0"/>
                                      <w:bCs/>
                                      <w:szCs w:val="21"/>
                                      <w:lang w:val="en-US" w:eastAsia="zh-CN"/>
                                    </w:rPr>
                                  </w:pPr>
                                  <w:r>
                                    <w:rPr>
                                      <w:rFonts w:hint="eastAsia" w:ascii="仿宋_GB2312" w:hAnsi="宋体" w:eastAsia="仿宋_GB2312"/>
                                      <w:b w:val="0"/>
                                      <w:bCs/>
                                      <w:szCs w:val="21"/>
                                      <w:lang w:val="en-US" w:eastAsia="zh-CN"/>
                                    </w:rPr>
                                    <w:t>设计意图：</w:t>
                                  </w:r>
                                </w:p>
                                <w:p w14:paraId="13D283A6">
                                  <w:pPr>
                                    <w:numPr>
                                      <w:ilvl w:val="0"/>
                                      <w:numId w:val="0"/>
                                    </w:numPr>
                                    <w:ind w:right="-50" w:rightChars="0"/>
                                    <w:rPr>
                                      <w:rFonts w:hint="default" w:ascii="仿宋_GB2312" w:hAnsi="宋体" w:eastAsia="仿宋_GB2312"/>
                                      <w:b w:val="0"/>
                                      <w:bCs/>
                                      <w:szCs w:val="21"/>
                                      <w:lang w:val="en-US" w:eastAsia="zh-CN"/>
                                    </w:rPr>
                                  </w:pPr>
                                  <w:r>
                                    <w:rPr>
                                      <w:rFonts w:hint="eastAsia" w:ascii="仿宋_GB2312" w:hAnsi="宋体" w:eastAsia="仿宋_GB2312"/>
                                      <w:b w:val="0"/>
                                      <w:bCs/>
                                      <w:szCs w:val="21"/>
                                      <w:lang w:val="en-US" w:eastAsia="zh-CN"/>
                                    </w:rPr>
                                    <w:t>培养学生理解运用所学知识，创新设计，解决问题的能力。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0.45pt;height:42.95pt;width:421.25pt;z-index:251662336;mso-width-relative:page;mso-height-relative:page;" fillcolor="#FFFFFF [3201]" filled="t" stroked="t" coordsize="21600,21600" o:gfxdata="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7BPL9UAAAAJ&#10;AQAADwAAAAAAAAABACAAAAAiAAAAZHJzL2Rvd25yZXYueG1sUEsBAhQAFAAAAAgAh07iQAfSwnpY&#10;AgAAuQQAAA4AAAAAAAAAAQAgAAAAJAEAAGRycy9lMm9Eb2MueG1sUEsFBgAAAAAGAAYAWQEAAO4F&#10;AAAAAA==&#10;">
                      <v:fill on="t" focussize="0,0"/>
                      <v:stroke weight="0.5pt" color="#000000 [3204]" joinstyle="round"/>
                      <v:imagedata o:title=""/>
                      <o:lock v:ext="edit" aspectratio="f"/>
                      <v:textbox>
                        <w:txbxContent>
                          <w:p w14:paraId="3AE1D0A5">
                            <w:pPr>
                              <w:numPr>
                                <w:ilvl w:val="0"/>
                                <w:numId w:val="0"/>
                              </w:numPr>
                              <w:ind w:right="-50" w:rightChars="0"/>
                              <w:rPr>
                                <w:rFonts w:hint="eastAsia" w:ascii="仿宋_GB2312" w:hAnsi="宋体" w:eastAsia="仿宋_GB2312"/>
                                <w:b w:val="0"/>
                                <w:bCs/>
                                <w:szCs w:val="21"/>
                                <w:lang w:val="en-US" w:eastAsia="zh-CN"/>
                              </w:rPr>
                            </w:pPr>
                            <w:r>
                              <w:rPr>
                                <w:rFonts w:hint="eastAsia" w:ascii="仿宋_GB2312" w:hAnsi="宋体" w:eastAsia="仿宋_GB2312"/>
                                <w:b w:val="0"/>
                                <w:bCs/>
                                <w:szCs w:val="21"/>
                                <w:lang w:val="en-US" w:eastAsia="zh-CN"/>
                              </w:rPr>
                              <w:t>设计意图：</w:t>
                            </w:r>
                          </w:p>
                          <w:p w14:paraId="13D283A6">
                            <w:pPr>
                              <w:numPr>
                                <w:ilvl w:val="0"/>
                                <w:numId w:val="0"/>
                              </w:numPr>
                              <w:ind w:right="-50" w:rightChars="0"/>
                              <w:rPr>
                                <w:rFonts w:hint="default" w:ascii="仿宋_GB2312" w:hAnsi="宋体" w:eastAsia="仿宋_GB2312"/>
                                <w:b w:val="0"/>
                                <w:bCs/>
                                <w:szCs w:val="21"/>
                                <w:lang w:val="en-US" w:eastAsia="zh-CN"/>
                              </w:rPr>
                            </w:pPr>
                            <w:r>
                              <w:rPr>
                                <w:rFonts w:hint="eastAsia" w:ascii="仿宋_GB2312" w:hAnsi="宋体" w:eastAsia="仿宋_GB2312"/>
                                <w:b w:val="0"/>
                                <w:bCs/>
                                <w:szCs w:val="21"/>
                                <w:lang w:val="en-US" w:eastAsia="zh-CN"/>
                              </w:rPr>
                              <w:t>培养学生理解运用所学知识，创新设计，解决问题的能力。</w:t>
                            </w:r>
                          </w:p>
                        </w:txbxContent>
                      </v:textbox>
                    </v:shape>
                  </w:pict>
                </mc:Fallback>
              </mc:AlternateContent>
            </w:r>
          </w:p>
          <w:p w14:paraId="1E015135">
            <w:pPr>
              <w:pStyle w:val="15"/>
              <w:widowControl w:val="0"/>
              <w:numPr>
                <w:ilvl w:val="0"/>
                <w:numId w:val="0"/>
              </w:numPr>
              <w:ind w:left="-50" w:leftChars="0" w:right="-50" w:rightChars="0"/>
              <w:jc w:val="both"/>
              <w:rPr>
                <w:rFonts w:hint="default" w:ascii="仿宋_GB2312" w:hAnsi="宋体" w:eastAsia="仿宋_GB2312"/>
                <w:b w:val="0"/>
                <w:bCs/>
                <w:szCs w:val="21"/>
                <w:lang w:val="en-US" w:eastAsia="zh-CN"/>
              </w:rPr>
            </w:pPr>
          </w:p>
          <w:p w14:paraId="1DECC08A">
            <w:pPr>
              <w:pStyle w:val="14"/>
              <w:widowControl w:val="0"/>
              <w:jc w:val="left"/>
              <w:rPr>
                <w:rFonts w:hint="eastAsia"/>
              </w:rPr>
            </w:pPr>
          </w:p>
        </w:tc>
      </w:tr>
    </w:tbl>
    <w:p w14:paraId="4FDFFC49">
      <w:pPr>
        <w:pStyle w:val="16"/>
        <w:spacing w:before="326" w:beforeLines="100" w:line="360" w:lineRule="auto"/>
        <w:rPr>
          <w:rFonts w:ascii="黑体" w:hAnsi="宋体"/>
        </w:rPr>
      </w:pPr>
      <w:r>
        <w:rPr>
          <w:rFonts w:hint="eastAsia" w:ascii="黑体" w:hAnsi="宋体"/>
        </w:rPr>
        <w:t>五、课程考核</w:t>
      </w:r>
      <w:bookmarkStart w:id="4" w:name="OLE_LINK4"/>
      <w:bookmarkStart w:id="5" w:name="OLE_LINK3"/>
    </w:p>
    <w:bookmarkEnd w:id="4"/>
    <w:bookmarkEnd w:id="5"/>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1064"/>
        <w:gridCol w:w="795"/>
        <w:gridCol w:w="780"/>
        <w:gridCol w:w="1033"/>
        <w:gridCol w:w="706"/>
      </w:tblGrid>
      <w:tr w14:paraId="69808D1E">
        <w:trPr>
          <w:trHeight w:val="454" w:hRule="atLeast"/>
        </w:trPr>
        <w:tc>
          <w:tcPr>
            <w:tcW w:w="836" w:type="dxa"/>
            <w:vMerge w:val="restart"/>
            <w:tcBorders>
              <w:top w:val="single" w:color="auto" w:sz="12" w:space="0"/>
              <w:left w:val="single" w:color="auto" w:sz="12" w:space="0"/>
            </w:tcBorders>
            <w:vAlign w:val="center"/>
          </w:tcPr>
          <w:p w14:paraId="7DEDFAC1">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1E66252">
            <w:pPr>
              <w:pStyle w:val="16"/>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3938A441">
            <w:pPr>
              <w:pStyle w:val="16"/>
              <w:widowControl w:val="0"/>
              <w:jc w:val="center"/>
              <w:rPr>
                <w:rFonts w:ascii="黑体" w:hAnsi="黑体"/>
                <w:bCs/>
                <w:sz w:val="21"/>
                <w:szCs w:val="21"/>
              </w:rPr>
            </w:pPr>
            <w:r>
              <w:rPr>
                <w:rFonts w:hint="eastAsia" w:ascii="黑体" w:hAnsi="黑体"/>
                <w:bCs/>
                <w:sz w:val="21"/>
                <w:szCs w:val="21"/>
              </w:rPr>
              <w:t>考核方式</w:t>
            </w:r>
          </w:p>
        </w:tc>
        <w:tc>
          <w:tcPr>
            <w:tcW w:w="3672" w:type="dxa"/>
            <w:gridSpan w:val="4"/>
            <w:tcBorders>
              <w:top w:val="single" w:color="auto" w:sz="12" w:space="0"/>
              <w:left w:val="double" w:color="auto" w:sz="4" w:space="0"/>
            </w:tcBorders>
            <w:vAlign w:val="center"/>
          </w:tcPr>
          <w:p w14:paraId="1F2D674E">
            <w:pPr>
              <w:pStyle w:val="16"/>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794D18F">
            <w:pPr>
              <w:pStyle w:val="16"/>
              <w:widowControl w:val="0"/>
              <w:spacing w:line="240" w:lineRule="auto"/>
              <w:jc w:val="center"/>
              <w:rPr>
                <w:rFonts w:ascii="黑体" w:hAnsi="黑体"/>
                <w:bCs/>
                <w:sz w:val="21"/>
                <w:szCs w:val="21"/>
              </w:rPr>
            </w:pPr>
            <w:r>
              <w:rPr>
                <w:rFonts w:hint="eastAsia" w:ascii="黑体" w:hAnsi="黑体"/>
                <w:bCs/>
                <w:sz w:val="21"/>
                <w:szCs w:val="21"/>
              </w:rPr>
              <w:t>合计</w:t>
            </w:r>
          </w:p>
        </w:tc>
      </w:tr>
      <w:tr w14:paraId="5FBB52E4">
        <w:trPr>
          <w:trHeight w:val="454" w:hRule="atLeast"/>
        </w:trPr>
        <w:tc>
          <w:tcPr>
            <w:tcW w:w="836" w:type="dxa"/>
            <w:vMerge w:val="continue"/>
            <w:tcBorders>
              <w:left w:val="single" w:color="auto" w:sz="12" w:space="0"/>
            </w:tcBorders>
          </w:tcPr>
          <w:p w14:paraId="44CDE82C">
            <w:pPr>
              <w:widowControl w:val="0"/>
              <w:snapToGrid w:val="0"/>
              <w:jc w:val="center"/>
              <w:rPr>
                <w:rFonts w:ascii="黑体" w:hAnsi="黑体" w:eastAsia="黑体"/>
                <w:bCs/>
                <w:sz w:val="21"/>
                <w:szCs w:val="21"/>
              </w:rPr>
            </w:pPr>
          </w:p>
        </w:tc>
        <w:tc>
          <w:tcPr>
            <w:tcW w:w="709" w:type="dxa"/>
            <w:vMerge w:val="continue"/>
          </w:tcPr>
          <w:p w14:paraId="218E894E">
            <w:pPr>
              <w:pStyle w:val="16"/>
              <w:widowControl w:val="0"/>
              <w:jc w:val="both"/>
              <w:rPr>
                <w:rFonts w:ascii="黑体" w:hAnsi="黑体"/>
                <w:bCs/>
                <w:sz w:val="21"/>
                <w:szCs w:val="21"/>
              </w:rPr>
            </w:pPr>
          </w:p>
        </w:tc>
        <w:tc>
          <w:tcPr>
            <w:tcW w:w="2353" w:type="dxa"/>
            <w:vMerge w:val="continue"/>
            <w:tcBorders>
              <w:right w:val="double" w:color="auto" w:sz="4" w:space="0"/>
            </w:tcBorders>
          </w:tcPr>
          <w:p w14:paraId="1CBE7F17">
            <w:pPr>
              <w:pStyle w:val="16"/>
              <w:widowControl w:val="0"/>
              <w:jc w:val="both"/>
              <w:rPr>
                <w:rFonts w:ascii="黑体" w:hAnsi="黑体"/>
                <w:bCs/>
                <w:sz w:val="21"/>
                <w:szCs w:val="21"/>
              </w:rPr>
            </w:pPr>
          </w:p>
        </w:tc>
        <w:tc>
          <w:tcPr>
            <w:tcW w:w="1064" w:type="dxa"/>
            <w:tcBorders>
              <w:left w:val="double" w:color="auto" w:sz="4" w:space="0"/>
            </w:tcBorders>
            <w:vAlign w:val="center"/>
          </w:tcPr>
          <w:p w14:paraId="50858CEF">
            <w:pPr>
              <w:pStyle w:val="16"/>
              <w:widowControl w:val="0"/>
              <w:spacing w:line="240" w:lineRule="auto"/>
              <w:jc w:val="center"/>
              <w:rPr>
                <w:rFonts w:hint="eastAsia" w:ascii="黑体" w:hAnsi="黑体" w:eastAsia="黑体"/>
                <w:bCs/>
                <w:sz w:val="21"/>
                <w:szCs w:val="21"/>
                <w:lang w:val="en-US" w:eastAsia="zh-CN"/>
              </w:rPr>
            </w:pPr>
            <w:r>
              <w:rPr>
                <w:rFonts w:hint="eastAsia" w:ascii="黑体" w:hAnsi="黑体"/>
                <w:bCs/>
                <w:sz w:val="21"/>
                <w:szCs w:val="21"/>
                <w:lang w:val="en-US" w:eastAsia="zh-CN"/>
              </w:rPr>
              <w:t>1</w:t>
            </w:r>
          </w:p>
        </w:tc>
        <w:tc>
          <w:tcPr>
            <w:tcW w:w="795" w:type="dxa"/>
            <w:vAlign w:val="center"/>
          </w:tcPr>
          <w:p w14:paraId="3465358A">
            <w:pPr>
              <w:pStyle w:val="16"/>
              <w:widowControl w:val="0"/>
              <w:spacing w:line="240" w:lineRule="auto"/>
              <w:jc w:val="center"/>
              <w:rPr>
                <w:rFonts w:hint="eastAsia" w:ascii="黑体" w:hAnsi="黑体" w:eastAsia="黑体"/>
                <w:bCs/>
                <w:sz w:val="21"/>
                <w:szCs w:val="21"/>
                <w:lang w:val="en-US" w:eastAsia="zh-CN"/>
              </w:rPr>
            </w:pPr>
            <w:r>
              <w:rPr>
                <w:rFonts w:hint="eastAsia" w:ascii="黑体" w:hAnsi="黑体"/>
                <w:bCs/>
                <w:sz w:val="21"/>
                <w:szCs w:val="21"/>
                <w:lang w:val="en-US" w:eastAsia="zh-CN"/>
              </w:rPr>
              <w:t>2</w:t>
            </w:r>
          </w:p>
        </w:tc>
        <w:tc>
          <w:tcPr>
            <w:tcW w:w="780" w:type="dxa"/>
            <w:vAlign w:val="center"/>
          </w:tcPr>
          <w:p w14:paraId="49258ED6">
            <w:pPr>
              <w:pStyle w:val="16"/>
              <w:widowControl w:val="0"/>
              <w:spacing w:line="240" w:lineRule="auto"/>
              <w:jc w:val="center"/>
              <w:rPr>
                <w:rFonts w:hint="eastAsia" w:ascii="黑体" w:hAnsi="黑体" w:eastAsia="黑体"/>
                <w:bCs/>
                <w:sz w:val="21"/>
                <w:szCs w:val="21"/>
                <w:lang w:val="en-US" w:eastAsia="zh-CN"/>
              </w:rPr>
            </w:pPr>
            <w:r>
              <w:rPr>
                <w:rFonts w:hint="eastAsia" w:ascii="黑体" w:hAnsi="黑体"/>
                <w:bCs/>
                <w:sz w:val="21"/>
                <w:szCs w:val="21"/>
                <w:lang w:val="en-US" w:eastAsia="zh-CN"/>
              </w:rPr>
              <w:t>3</w:t>
            </w:r>
          </w:p>
        </w:tc>
        <w:tc>
          <w:tcPr>
            <w:tcW w:w="1033" w:type="dxa"/>
            <w:vAlign w:val="center"/>
          </w:tcPr>
          <w:p w14:paraId="40206285">
            <w:pPr>
              <w:pStyle w:val="16"/>
              <w:widowControl w:val="0"/>
              <w:spacing w:line="240" w:lineRule="auto"/>
              <w:jc w:val="center"/>
              <w:rPr>
                <w:rFonts w:ascii="黑体" w:hAnsi="黑体"/>
                <w:bCs/>
                <w:sz w:val="21"/>
                <w:szCs w:val="21"/>
              </w:rPr>
            </w:pPr>
            <w:r>
              <w:rPr>
                <w:rFonts w:hint="eastAsia" w:ascii="黑体" w:hAnsi="黑体"/>
                <w:bCs/>
                <w:sz w:val="21"/>
                <w:szCs w:val="21"/>
                <w:lang w:val="en-US" w:eastAsia="zh-CN"/>
              </w:rPr>
              <w:t>4</w:t>
            </w:r>
          </w:p>
        </w:tc>
        <w:tc>
          <w:tcPr>
            <w:tcW w:w="706" w:type="dxa"/>
            <w:vMerge w:val="continue"/>
            <w:tcBorders>
              <w:right w:val="single" w:color="auto" w:sz="12" w:space="0"/>
            </w:tcBorders>
          </w:tcPr>
          <w:p w14:paraId="628BC12F">
            <w:pPr>
              <w:pStyle w:val="16"/>
              <w:widowControl w:val="0"/>
              <w:spacing w:line="240" w:lineRule="auto"/>
              <w:jc w:val="center"/>
              <w:rPr>
                <w:rFonts w:ascii="黑体" w:hAnsi="黑体"/>
                <w:bCs/>
                <w:sz w:val="21"/>
                <w:szCs w:val="21"/>
              </w:rPr>
            </w:pPr>
          </w:p>
        </w:tc>
      </w:tr>
      <w:tr w14:paraId="0DCAF32D">
        <w:trPr>
          <w:trHeight w:val="454" w:hRule="atLeast"/>
        </w:trPr>
        <w:tc>
          <w:tcPr>
            <w:tcW w:w="836" w:type="dxa"/>
            <w:tcBorders>
              <w:left w:val="single" w:color="auto" w:sz="12" w:space="0"/>
            </w:tcBorders>
            <w:vAlign w:val="center"/>
          </w:tcPr>
          <w:p w14:paraId="13A35083">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378C20E">
            <w:pPr>
              <w:pStyle w:val="14"/>
              <w:widowControl w:val="0"/>
            </w:pPr>
          </w:p>
        </w:tc>
        <w:tc>
          <w:tcPr>
            <w:tcW w:w="2353" w:type="dxa"/>
            <w:tcBorders>
              <w:right w:val="double" w:color="auto" w:sz="4" w:space="0"/>
            </w:tcBorders>
            <w:vAlign w:val="top"/>
          </w:tcPr>
          <w:p w14:paraId="38254C9F">
            <w:pPr>
              <w:widowControl w:val="0"/>
              <w:snapToGrid w:val="0"/>
              <w:spacing w:before="156" w:beforeLines="50" w:after="156" w:afterLines="50"/>
              <w:jc w:val="center"/>
            </w:pPr>
            <w:r>
              <w:rPr>
                <w:rFonts w:hint="eastAsia"/>
                <w:lang w:val="en-US" w:eastAsia="zh-CN"/>
              </w:rPr>
              <w:t>课堂表现（出勤、回答问题-分组讨论、预习复习）</w:t>
            </w:r>
          </w:p>
        </w:tc>
        <w:tc>
          <w:tcPr>
            <w:tcW w:w="1064" w:type="dxa"/>
            <w:tcBorders>
              <w:left w:val="double" w:color="auto" w:sz="4" w:space="0"/>
            </w:tcBorders>
            <w:shd w:val="clear" w:color="auto" w:fill="auto"/>
            <w:vAlign w:val="center"/>
          </w:tcPr>
          <w:p w14:paraId="1076658B">
            <w:pPr>
              <w:pStyle w:val="14"/>
              <w:widowControl w:val="0"/>
              <w:rPr>
                <w:rFonts w:ascii="Times New Roman" w:hAnsi="Times New Roman" w:eastAsia="宋体" w:cs="宋体"/>
                <w:color w:val="000000"/>
                <w:sz w:val="21"/>
                <w:szCs w:val="21"/>
                <w:lang w:val="en-US" w:eastAsia="zh-CN" w:bidi="ar-SA"/>
              </w:rPr>
            </w:pPr>
            <w:r>
              <w:t>20</w:t>
            </w:r>
          </w:p>
        </w:tc>
        <w:tc>
          <w:tcPr>
            <w:tcW w:w="795" w:type="dxa"/>
            <w:shd w:val="clear" w:color="auto" w:fill="auto"/>
            <w:vAlign w:val="center"/>
          </w:tcPr>
          <w:p w14:paraId="5DAB4E8A">
            <w:pPr>
              <w:pStyle w:val="14"/>
              <w:widowControl w:val="0"/>
              <w:rPr>
                <w:rFonts w:ascii="Times New Roman" w:hAnsi="Times New Roman" w:eastAsia="宋体" w:cs="宋体"/>
                <w:color w:val="000000"/>
                <w:sz w:val="21"/>
                <w:szCs w:val="21"/>
                <w:lang w:val="en-US" w:eastAsia="zh-CN" w:bidi="ar-SA"/>
              </w:rPr>
            </w:pPr>
            <w:r>
              <w:rPr>
                <w:rFonts w:hint="eastAsia"/>
              </w:rPr>
              <w:t>3</w:t>
            </w:r>
            <w:r>
              <w:t>0</w:t>
            </w:r>
          </w:p>
        </w:tc>
        <w:tc>
          <w:tcPr>
            <w:tcW w:w="780" w:type="dxa"/>
            <w:shd w:val="clear" w:color="auto" w:fill="auto"/>
            <w:vAlign w:val="center"/>
          </w:tcPr>
          <w:p w14:paraId="3DAF83E7">
            <w:pPr>
              <w:pStyle w:val="14"/>
              <w:widowControl w:val="0"/>
              <w:rPr>
                <w:rFonts w:ascii="Times New Roman" w:hAnsi="Times New Roman" w:eastAsia="宋体" w:cs="宋体"/>
                <w:color w:val="000000"/>
                <w:sz w:val="21"/>
                <w:szCs w:val="21"/>
                <w:lang w:val="en-US" w:eastAsia="zh-CN" w:bidi="ar-SA"/>
              </w:rPr>
            </w:pPr>
            <w:r>
              <w:rPr>
                <w:rFonts w:hint="eastAsia"/>
              </w:rPr>
              <w:t>2</w:t>
            </w:r>
            <w:r>
              <w:t>0</w:t>
            </w:r>
          </w:p>
        </w:tc>
        <w:tc>
          <w:tcPr>
            <w:tcW w:w="1033" w:type="dxa"/>
            <w:shd w:val="clear" w:color="auto" w:fill="auto"/>
            <w:vAlign w:val="center"/>
          </w:tcPr>
          <w:p w14:paraId="3E5BD1AE">
            <w:pPr>
              <w:pStyle w:val="14"/>
              <w:widowControl w:val="0"/>
              <w:rPr>
                <w:rFonts w:ascii="Times New Roman" w:hAnsi="Times New Roman" w:eastAsia="宋体" w:cs="宋体"/>
                <w:color w:val="000000"/>
                <w:sz w:val="21"/>
                <w:szCs w:val="21"/>
                <w:lang w:val="en-US" w:eastAsia="zh-CN" w:bidi="ar-SA"/>
              </w:rPr>
            </w:pPr>
            <w:r>
              <w:rPr>
                <w:rFonts w:hint="eastAsia"/>
                <w:lang w:val="en-US" w:eastAsia="zh-CN"/>
              </w:rPr>
              <w:t>3</w:t>
            </w:r>
            <w:r>
              <w:t>0</w:t>
            </w:r>
          </w:p>
        </w:tc>
        <w:tc>
          <w:tcPr>
            <w:tcW w:w="706" w:type="dxa"/>
            <w:tcBorders>
              <w:right w:val="single" w:color="auto" w:sz="12" w:space="0"/>
            </w:tcBorders>
            <w:shd w:val="clear" w:color="auto" w:fill="auto"/>
            <w:vAlign w:val="center"/>
          </w:tcPr>
          <w:p w14:paraId="6A7043FD">
            <w:pPr>
              <w:pStyle w:val="14"/>
              <w:widowControl w:val="0"/>
              <w:rPr>
                <w:rFonts w:hint="default" w:ascii="Times New Roman" w:hAnsi="Times New Roman" w:eastAsia="宋体" w:cs="宋体"/>
                <w:color w:val="000000"/>
                <w:sz w:val="21"/>
                <w:szCs w:val="21"/>
                <w:lang w:val="en-US" w:eastAsia="zh-CN" w:bidi="ar-SA"/>
              </w:rPr>
            </w:pPr>
            <w:r>
              <w:rPr>
                <w:rFonts w:hint="eastAsia"/>
                <w:lang w:val="en-US" w:eastAsia="zh-CN"/>
              </w:rPr>
              <w:t>100</w:t>
            </w:r>
          </w:p>
        </w:tc>
      </w:tr>
      <w:tr w14:paraId="60C5555F">
        <w:trPr>
          <w:trHeight w:val="454" w:hRule="atLeast"/>
        </w:trPr>
        <w:tc>
          <w:tcPr>
            <w:tcW w:w="836" w:type="dxa"/>
            <w:tcBorders>
              <w:left w:val="single" w:color="auto" w:sz="12" w:space="0"/>
            </w:tcBorders>
            <w:vAlign w:val="center"/>
          </w:tcPr>
          <w:p w14:paraId="170428F6">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90ABE5A">
            <w:pPr>
              <w:pStyle w:val="14"/>
              <w:widowControl w:val="0"/>
            </w:pPr>
          </w:p>
        </w:tc>
        <w:tc>
          <w:tcPr>
            <w:tcW w:w="2353" w:type="dxa"/>
            <w:tcBorders>
              <w:right w:val="double" w:color="auto" w:sz="4" w:space="0"/>
            </w:tcBorders>
            <w:vAlign w:val="top"/>
          </w:tcPr>
          <w:p w14:paraId="0E6CF37F">
            <w:pPr>
              <w:widowControl w:val="0"/>
              <w:snapToGrid w:val="0"/>
              <w:spacing w:before="156" w:beforeLines="50" w:after="156" w:afterLines="50"/>
              <w:jc w:val="center"/>
            </w:pPr>
            <w:r>
              <w:rPr>
                <w:rFonts w:hint="eastAsia" w:ascii="宋体" w:hAnsi="宋体"/>
                <w:bCs/>
                <w:color w:val="000000"/>
                <w:szCs w:val="20"/>
                <w:lang w:val="en-US" w:eastAsia="zh-CN"/>
              </w:rPr>
              <w:t>期中小测验</w:t>
            </w:r>
          </w:p>
        </w:tc>
        <w:tc>
          <w:tcPr>
            <w:tcW w:w="1064" w:type="dxa"/>
            <w:tcBorders>
              <w:left w:val="double" w:color="auto" w:sz="4" w:space="0"/>
            </w:tcBorders>
            <w:vAlign w:val="center"/>
          </w:tcPr>
          <w:p w14:paraId="481FE693">
            <w:pPr>
              <w:pStyle w:val="14"/>
              <w:widowControl w:val="0"/>
              <w:rPr>
                <w:rFonts w:hint="default" w:eastAsia="宋体"/>
                <w:lang w:val="en-US" w:eastAsia="zh-CN"/>
              </w:rPr>
            </w:pPr>
            <w:r>
              <w:rPr>
                <w:rFonts w:hint="eastAsia"/>
                <w:lang w:val="en-US" w:eastAsia="zh-CN"/>
              </w:rPr>
              <w:t>30</w:t>
            </w:r>
          </w:p>
        </w:tc>
        <w:tc>
          <w:tcPr>
            <w:tcW w:w="795" w:type="dxa"/>
            <w:vAlign w:val="center"/>
          </w:tcPr>
          <w:p w14:paraId="4B07AF89">
            <w:pPr>
              <w:pStyle w:val="14"/>
              <w:widowControl w:val="0"/>
              <w:rPr>
                <w:rFonts w:hint="default" w:eastAsia="宋体"/>
                <w:lang w:val="en-US" w:eastAsia="zh-CN"/>
              </w:rPr>
            </w:pPr>
            <w:r>
              <w:rPr>
                <w:rFonts w:hint="eastAsia"/>
                <w:lang w:val="en-US" w:eastAsia="zh-CN"/>
              </w:rPr>
              <w:t>20</w:t>
            </w:r>
          </w:p>
        </w:tc>
        <w:tc>
          <w:tcPr>
            <w:tcW w:w="780" w:type="dxa"/>
            <w:vAlign w:val="center"/>
          </w:tcPr>
          <w:p w14:paraId="7E32276A">
            <w:pPr>
              <w:pStyle w:val="14"/>
              <w:widowControl w:val="0"/>
              <w:rPr>
                <w:rFonts w:hint="default" w:eastAsia="宋体"/>
                <w:lang w:val="en-US" w:eastAsia="zh-CN"/>
              </w:rPr>
            </w:pPr>
            <w:r>
              <w:rPr>
                <w:rFonts w:hint="eastAsia"/>
                <w:lang w:val="en-US" w:eastAsia="zh-CN"/>
              </w:rPr>
              <w:t>50</w:t>
            </w:r>
          </w:p>
        </w:tc>
        <w:tc>
          <w:tcPr>
            <w:tcW w:w="1033" w:type="dxa"/>
            <w:vAlign w:val="center"/>
          </w:tcPr>
          <w:p w14:paraId="165E7A02">
            <w:pPr>
              <w:pStyle w:val="14"/>
              <w:widowControl w:val="0"/>
              <w:rPr>
                <w:rFonts w:hint="default" w:eastAsia="宋体"/>
                <w:lang w:val="en-US" w:eastAsia="zh-CN"/>
              </w:rPr>
            </w:pPr>
          </w:p>
        </w:tc>
        <w:tc>
          <w:tcPr>
            <w:tcW w:w="706" w:type="dxa"/>
            <w:tcBorders>
              <w:right w:val="single" w:color="auto" w:sz="12" w:space="0"/>
            </w:tcBorders>
            <w:vAlign w:val="center"/>
          </w:tcPr>
          <w:p w14:paraId="0DB6462E">
            <w:pPr>
              <w:pStyle w:val="14"/>
              <w:widowControl w:val="0"/>
            </w:pPr>
            <w:r>
              <w:rPr>
                <w:rFonts w:hint="eastAsia"/>
              </w:rPr>
              <w:t>1</w:t>
            </w:r>
            <w:r>
              <w:t>00</w:t>
            </w:r>
          </w:p>
        </w:tc>
      </w:tr>
      <w:tr w14:paraId="25F7C6BA">
        <w:trPr>
          <w:trHeight w:val="454" w:hRule="atLeast"/>
        </w:trPr>
        <w:tc>
          <w:tcPr>
            <w:tcW w:w="836" w:type="dxa"/>
            <w:tcBorders>
              <w:left w:val="single" w:color="auto" w:sz="12" w:space="0"/>
            </w:tcBorders>
            <w:vAlign w:val="center"/>
          </w:tcPr>
          <w:p w14:paraId="4775C49F">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6C3DA17E">
            <w:pPr>
              <w:pStyle w:val="14"/>
              <w:widowControl w:val="0"/>
            </w:pPr>
          </w:p>
        </w:tc>
        <w:tc>
          <w:tcPr>
            <w:tcW w:w="2353" w:type="dxa"/>
            <w:tcBorders>
              <w:right w:val="double" w:color="auto" w:sz="4" w:space="0"/>
            </w:tcBorders>
            <w:vAlign w:val="top"/>
          </w:tcPr>
          <w:p w14:paraId="36DF57A0">
            <w:pPr>
              <w:widowControl w:val="0"/>
              <w:snapToGrid w:val="0"/>
              <w:spacing w:before="156" w:beforeLines="50" w:after="156" w:afterLines="50"/>
              <w:jc w:val="center"/>
            </w:pPr>
            <w:r>
              <w:rPr>
                <w:rFonts w:hint="eastAsia" w:ascii="宋体" w:hAnsi="宋体"/>
                <w:bCs/>
                <w:color w:val="000000"/>
                <w:szCs w:val="20"/>
              </w:rPr>
              <w:t>课后作业</w:t>
            </w:r>
          </w:p>
        </w:tc>
        <w:tc>
          <w:tcPr>
            <w:tcW w:w="1064" w:type="dxa"/>
            <w:tcBorders>
              <w:left w:val="double" w:color="auto" w:sz="4" w:space="0"/>
            </w:tcBorders>
            <w:vAlign w:val="center"/>
          </w:tcPr>
          <w:p w14:paraId="21197CD9">
            <w:pPr>
              <w:pStyle w:val="14"/>
              <w:widowControl w:val="0"/>
              <w:rPr>
                <w:rFonts w:hint="default" w:eastAsia="宋体"/>
                <w:lang w:val="en-US" w:eastAsia="zh-CN"/>
              </w:rPr>
            </w:pPr>
            <w:r>
              <w:rPr>
                <w:rFonts w:hint="eastAsia"/>
                <w:lang w:val="en-US" w:eastAsia="zh-CN"/>
              </w:rPr>
              <w:t>40</w:t>
            </w:r>
          </w:p>
        </w:tc>
        <w:tc>
          <w:tcPr>
            <w:tcW w:w="795" w:type="dxa"/>
            <w:vAlign w:val="center"/>
          </w:tcPr>
          <w:p w14:paraId="5495AD98">
            <w:pPr>
              <w:pStyle w:val="14"/>
              <w:widowControl w:val="0"/>
              <w:rPr>
                <w:rFonts w:hint="default" w:eastAsia="宋体"/>
                <w:lang w:val="en-US" w:eastAsia="zh-CN"/>
              </w:rPr>
            </w:pPr>
            <w:r>
              <w:rPr>
                <w:rFonts w:hint="eastAsia"/>
                <w:lang w:val="en-US" w:eastAsia="zh-CN"/>
              </w:rPr>
              <w:t>10</w:t>
            </w:r>
          </w:p>
        </w:tc>
        <w:tc>
          <w:tcPr>
            <w:tcW w:w="780" w:type="dxa"/>
            <w:vAlign w:val="center"/>
          </w:tcPr>
          <w:p w14:paraId="1F113A20">
            <w:pPr>
              <w:pStyle w:val="14"/>
              <w:widowControl w:val="0"/>
              <w:rPr>
                <w:rFonts w:hint="default" w:eastAsia="宋体"/>
                <w:lang w:val="en-US" w:eastAsia="zh-CN"/>
              </w:rPr>
            </w:pPr>
            <w:r>
              <w:rPr>
                <w:rFonts w:hint="eastAsia"/>
                <w:lang w:val="en-US" w:eastAsia="zh-CN"/>
              </w:rPr>
              <w:t>40</w:t>
            </w:r>
          </w:p>
        </w:tc>
        <w:tc>
          <w:tcPr>
            <w:tcW w:w="1033" w:type="dxa"/>
            <w:vAlign w:val="center"/>
          </w:tcPr>
          <w:p w14:paraId="7E41B030">
            <w:pPr>
              <w:pStyle w:val="14"/>
              <w:widowControl w:val="0"/>
              <w:rPr>
                <w:rFonts w:hint="default" w:eastAsia="宋体"/>
                <w:lang w:val="en-US" w:eastAsia="zh-CN"/>
              </w:rPr>
            </w:pPr>
            <w:r>
              <w:rPr>
                <w:rFonts w:hint="eastAsia"/>
                <w:lang w:val="en-US" w:eastAsia="zh-CN"/>
              </w:rPr>
              <w:t>10</w:t>
            </w:r>
          </w:p>
        </w:tc>
        <w:tc>
          <w:tcPr>
            <w:tcW w:w="706" w:type="dxa"/>
            <w:tcBorders>
              <w:right w:val="single" w:color="auto" w:sz="12" w:space="0"/>
            </w:tcBorders>
            <w:vAlign w:val="center"/>
          </w:tcPr>
          <w:p w14:paraId="25B85719">
            <w:pPr>
              <w:pStyle w:val="14"/>
              <w:widowControl w:val="0"/>
            </w:pPr>
            <w:r>
              <w:rPr>
                <w:rFonts w:hint="eastAsia"/>
              </w:rPr>
              <w:t>1</w:t>
            </w:r>
            <w:r>
              <w:t>00</w:t>
            </w:r>
          </w:p>
        </w:tc>
      </w:tr>
      <w:tr w14:paraId="1990A552">
        <w:trPr>
          <w:trHeight w:val="454" w:hRule="atLeast"/>
        </w:trPr>
        <w:tc>
          <w:tcPr>
            <w:tcW w:w="836" w:type="dxa"/>
            <w:tcBorders>
              <w:left w:val="single" w:color="auto" w:sz="12" w:space="0"/>
              <w:bottom w:val="single" w:color="auto" w:sz="4" w:space="0"/>
            </w:tcBorders>
            <w:vAlign w:val="center"/>
          </w:tcPr>
          <w:p w14:paraId="7B6FBDAF">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2BD32D2B">
            <w:pPr>
              <w:pStyle w:val="14"/>
              <w:widowControl w:val="0"/>
            </w:pPr>
          </w:p>
        </w:tc>
        <w:tc>
          <w:tcPr>
            <w:tcW w:w="2353" w:type="dxa"/>
            <w:tcBorders>
              <w:bottom w:val="single" w:color="auto" w:sz="4" w:space="0"/>
              <w:right w:val="double" w:color="auto" w:sz="4" w:space="0"/>
            </w:tcBorders>
            <w:vAlign w:val="top"/>
          </w:tcPr>
          <w:p w14:paraId="1071D7EE">
            <w:pPr>
              <w:widowControl w:val="0"/>
              <w:snapToGrid w:val="0"/>
              <w:spacing w:before="156" w:beforeLines="50" w:after="156" w:afterLines="50"/>
              <w:jc w:val="center"/>
            </w:pPr>
            <w:r>
              <w:rPr>
                <w:rFonts w:hint="eastAsia" w:ascii="宋体" w:hAnsi="宋体"/>
                <w:bCs/>
                <w:color w:val="000000"/>
                <w:szCs w:val="20"/>
                <w:lang w:val="en-US" w:eastAsia="zh-CN"/>
              </w:rPr>
              <w:t>总结测验</w:t>
            </w:r>
          </w:p>
        </w:tc>
        <w:tc>
          <w:tcPr>
            <w:tcW w:w="1064" w:type="dxa"/>
            <w:tcBorders>
              <w:left w:val="double" w:color="auto" w:sz="4" w:space="0"/>
              <w:bottom w:val="single" w:color="auto" w:sz="4" w:space="0"/>
            </w:tcBorders>
            <w:vAlign w:val="center"/>
          </w:tcPr>
          <w:p w14:paraId="7133C2D9">
            <w:pPr>
              <w:pStyle w:val="14"/>
              <w:widowControl w:val="0"/>
              <w:rPr>
                <w:rFonts w:hint="default" w:eastAsia="宋体"/>
                <w:lang w:val="en-US" w:eastAsia="zh-CN"/>
              </w:rPr>
            </w:pPr>
            <w:r>
              <w:rPr>
                <w:rFonts w:hint="eastAsia"/>
                <w:lang w:val="en-US" w:eastAsia="zh-CN"/>
              </w:rPr>
              <w:t>30</w:t>
            </w:r>
          </w:p>
        </w:tc>
        <w:tc>
          <w:tcPr>
            <w:tcW w:w="795" w:type="dxa"/>
            <w:tcBorders>
              <w:bottom w:val="single" w:color="auto" w:sz="4" w:space="0"/>
            </w:tcBorders>
            <w:vAlign w:val="center"/>
          </w:tcPr>
          <w:p w14:paraId="2B7D8627">
            <w:pPr>
              <w:pStyle w:val="14"/>
              <w:widowControl w:val="0"/>
              <w:rPr>
                <w:rFonts w:hint="default" w:eastAsia="宋体"/>
                <w:lang w:val="en-US" w:eastAsia="zh-CN"/>
              </w:rPr>
            </w:pPr>
            <w:r>
              <w:rPr>
                <w:rFonts w:hint="eastAsia"/>
                <w:lang w:val="en-US" w:eastAsia="zh-CN"/>
              </w:rPr>
              <w:t>30</w:t>
            </w:r>
          </w:p>
        </w:tc>
        <w:tc>
          <w:tcPr>
            <w:tcW w:w="780" w:type="dxa"/>
            <w:tcBorders>
              <w:bottom w:val="single" w:color="auto" w:sz="4" w:space="0"/>
            </w:tcBorders>
            <w:vAlign w:val="center"/>
          </w:tcPr>
          <w:p w14:paraId="6EB49D44">
            <w:pPr>
              <w:pStyle w:val="14"/>
              <w:widowControl w:val="0"/>
              <w:rPr>
                <w:rFonts w:hint="default" w:eastAsia="宋体"/>
                <w:lang w:val="en-US" w:eastAsia="zh-CN"/>
              </w:rPr>
            </w:pPr>
            <w:r>
              <w:rPr>
                <w:rFonts w:hint="eastAsia"/>
                <w:lang w:val="en-US" w:eastAsia="zh-CN"/>
              </w:rPr>
              <w:t>20</w:t>
            </w:r>
          </w:p>
        </w:tc>
        <w:tc>
          <w:tcPr>
            <w:tcW w:w="1033" w:type="dxa"/>
            <w:tcBorders>
              <w:bottom w:val="single" w:color="auto" w:sz="4" w:space="0"/>
            </w:tcBorders>
            <w:vAlign w:val="center"/>
          </w:tcPr>
          <w:p w14:paraId="0FB1FC33">
            <w:pPr>
              <w:pStyle w:val="14"/>
              <w:widowControl w:val="0"/>
              <w:rPr>
                <w:rFonts w:hint="default" w:eastAsia="宋体"/>
                <w:lang w:val="en-US" w:eastAsia="zh-CN"/>
              </w:rPr>
            </w:pPr>
            <w:r>
              <w:rPr>
                <w:rFonts w:hint="eastAsia"/>
                <w:lang w:val="en-US" w:eastAsia="zh-CN"/>
              </w:rPr>
              <w:t>20</w:t>
            </w:r>
          </w:p>
        </w:tc>
        <w:tc>
          <w:tcPr>
            <w:tcW w:w="706" w:type="dxa"/>
            <w:tcBorders>
              <w:bottom w:val="single" w:color="auto" w:sz="4" w:space="0"/>
              <w:right w:val="single" w:color="auto" w:sz="12" w:space="0"/>
            </w:tcBorders>
            <w:vAlign w:val="center"/>
          </w:tcPr>
          <w:p w14:paraId="3FACC479">
            <w:pPr>
              <w:pStyle w:val="14"/>
              <w:widowControl w:val="0"/>
            </w:pPr>
            <w:r>
              <w:rPr>
                <w:rFonts w:hint="eastAsia"/>
              </w:rPr>
              <w:t>1</w:t>
            </w:r>
            <w:r>
              <w:t>00</w:t>
            </w:r>
          </w:p>
        </w:tc>
      </w:tr>
    </w:tbl>
    <w:p w14:paraId="2ACE2EA6">
      <w:pPr>
        <w:pStyle w:val="17"/>
        <w:spacing w:before="326" w:beforeLines="100" w:after="163"/>
        <w:jc w:val="center"/>
      </w:pPr>
      <w:r>
        <w:rPr>
          <w:rFonts w:hint="eastAsia"/>
        </w:rPr>
        <w:t>评价标准细则（选填）</w:t>
      </w:r>
    </w:p>
    <w:tbl>
      <w:tblPr>
        <w:tblStyle w:val="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667"/>
        <w:gridCol w:w="1910"/>
        <w:gridCol w:w="1358"/>
        <w:gridCol w:w="1350"/>
        <w:gridCol w:w="1335"/>
        <w:gridCol w:w="1272"/>
      </w:tblGrid>
      <w:tr w14:paraId="633CFF15">
        <w:trPr>
          <w:trHeight w:val="283" w:hRule="atLeast"/>
        </w:trPr>
        <w:tc>
          <w:tcPr>
            <w:tcW w:w="630" w:type="dxa"/>
            <w:vMerge w:val="restart"/>
            <w:vAlign w:val="center"/>
          </w:tcPr>
          <w:p w14:paraId="3B3C6D43">
            <w:pPr>
              <w:widowControl w:val="0"/>
              <w:snapToGrid w:val="0"/>
              <w:jc w:val="center"/>
              <w:rPr>
                <w:rFonts w:ascii="黑体" w:hAnsi="黑体" w:eastAsia="黑体"/>
                <w:bCs/>
                <w:sz w:val="21"/>
                <w:szCs w:val="21"/>
              </w:rPr>
            </w:pPr>
            <w:r>
              <w:rPr>
                <w:rFonts w:hint="eastAsia" w:ascii="黑体" w:hAnsi="黑体" w:eastAsia="黑体"/>
                <w:bCs/>
                <w:sz w:val="21"/>
                <w:szCs w:val="21"/>
              </w:rPr>
              <w:t>考核项目</w:t>
            </w:r>
          </w:p>
        </w:tc>
        <w:tc>
          <w:tcPr>
            <w:tcW w:w="667" w:type="dxa"/>
            <w:vMerge w:val="restart"/>
          </w:tcPr>
          <w:p w14:paraId="71D0D395">
            <w:pPr>
              <w:widowControl w:val="0"/>
              <w:snapToGrid w:val="0"/>
              <w:jc w:val="center"/>
              <w:rPr>
                <w:rFonts w:ascii="黑体" w:hAnsi="黑体" w:eastAsia="黑体"/>
                <w:bCs/>
                <w:sz w:val="21"/>
                <w:szCs w:val="21"/>
              </w:rPr>
            </w:pPr>
            <w:r>
              <w:rPr>
                <w:rFonts w:hint="eastAsia" w:ascii="黑体" w:hAnsi="黑体" w:eastAsia="黑体"/>
                <w:bCs/>
                <w:sz w:val="21"/>
                <w:szCs w:val="21"/>
              </w:rPr>
              <w:t>课</w:t>
            </w:r>
          </w:p>
          <w:p w14:paraId="04E015B2">
            <w:pPr>
              <w:widowControl w:val="0"/>
              <w:snapToGrid w:val="0"/>
              <w:jc w:val="center"/>
              <w:rPr>
                <w:rFonts w:ascii="黑体" w:hAnsi="黑体" w:eastAsia="黑体"/>
                <w:bCs/>
                <w:sz w:val="21"/>
                <w:szCs w:val="21"/>
              </w:rPr>
            </w:pPr>
            <w:r>
              <w:rPr>
                <w:rFonts w:hint="eastAsia" w:ascii="黑体" w:hAnsi="黑体" w:eastAsia="黑体"/>
                <w:bCs/>
                <w:sz w:val="21"/>
                <w:szCs w:val="21"/>
              </w:rPr>
              <w:t>程</w:t>
            </w:r>
          </w:p>
          <w:p w14:paraId="380127EC">
            <w:pPr>
              <w:widowControl w:val="0"/>
              <w:snapToGrid w:val="0"/>
              <w:jc w:val="center"/>
              <w:rPr>
                <w:rFonts w:ascii="黑体" w:hAnsi="黑体" w:eastAsia="黑体"/>
                <w:bCs/>
                <w:sz w:val="21"/>
                <w:szCs w:val="21"/>
              </w:rPr>
            </w:pPr>
            <w:r>
              <w:rPr>
                <w:rFonts w:hint="eastAsia" w:ascii="黑体" w:hAnsi="黑体" w:eastAsia="黑体"/>
                <w:bCs/>
                <w:sz w:val="21"/>
                <w:szCs w:val="21"/>
              </w:rPr>
              <w:t>目</w:t>
            </w:r>
          </w:p>
          <w:p w14:paraId="6C2EF794">
            <w:pPr>
              <w:widowControl w:val="0"/>
              <w:snapToGrid w:val="0"/>
              <w:jc w:val="center"/>
              <w:rPr>
                <w:rFonts w:ascii="黑体" w:hAnsi="黑体" w:eastAsia="黑体"/>
                <w:bCs/>
                <w:sz w:val="21"/>
                <w:szCs w:val="21"/>
              </w:rPr>
            </w:pPr>
            <w:r>
              <w:rPr>
                <w:rFonts w:hint="eastAsia" w:ascii="黑体" w:hAnsi="黑体" w:eastAsia="黑体"/>
                <w:bCs/>
                <w:sz w:val="21"/>
                <w:szCs w:val="21"/>
              </w:rPr>
              <w:t>标</w:t>
            </w:r>
          </w:p>
        </w:tc>
        <w:tc>
          <w:tcPr>
            <w:tcW w:w="1910" w:type="dxa"/>
            <w:vMerge w:val="restart"/>
            <w:vAlign w:val="center"/>
          </w:tcPr>
          <w:p w14:paraId="52C6BDBB">
            <w:pPr>
              <w:widowControl w:val="0"/>
              <w:snapToGrid w:val="0"/>
              <w:jc w:val="center"/>
              <w:rPr>
                <w:rFonts w:ascii="黑体" w:hAnsi="黑体" w:eastAsia="黑体"/>
                <w:bCs/>
                <w:sz w:val="21"/>
                <w:szCs w:val="21"/>
              </w:rPr>
            </w:pPr>
            <w:r>
              <w:rPr>
                <w:rFonts w:hint="eastAsia" w:ascii="黑体" w:hAnsi="黑体" w:eastAsia="黑体"/>
                <w:bCs/>
                <w:sz w:val="21"/>
                <w:szCs w:val="21"/>
              </w:rPr>
              <w:t>考核要求</w:t>
            </w:r>
          </w:p>
        </w:tc>
        <w:tc>
          <w:tcPr>
            <w:tcW w:w="5315" w:type="dxa"/>
            <w:gridSpan w:val="4"/>
            <w:vAlign w:val="center"/>
          </w:tcPr>
          <w:p w14:paraId="4D5B0279">
            <w:pPr>
              <w:pStyle w:val="16"/>
              <w:widowControl w:val="0"/>
              <w:spacing w:line="240" w:lineRule="auto"/>
              <w:jc w:val="center"/>
              <w:rPr>
                <w:rFonts w:ascii="黑体" w:hAnsi="黑体"/>
                <w:bCs/>
                <w:sz w:val="21"/>
                <w:szCs w:val="21"/>
              </w:rPr>
            </w:pPr>
            <w:r>
              <w:rPr>
                <w:rFonts w:hint="eastAsia" w:ascii="黑体" w:hAnsi="黑体"/>
                <w:bCs/>
                <w:sz w:val="21"/>
                <w:szCs w:val="21"/>
              </w:rPr>
              <w:t>评价标准</w:t>
            </w:r>
          </w:p>
        </w:tc>
      </w:tr>
      <w:tr w14:paraId="16A903E0">
        <w:trPr>
          <w:trHeight w:val="283" w:hRule="atLeast"/>
        </w:trPr>
        <w:tc>
          <w:tcPr>
            <w:tcW w:w="630" w:type="dxa"/>
            <w:vMerge w:val="continue"/>
          </w:tcPr>
          <w:p w14:paraId="3A23CCF5">
            <w:pPr>
              <w:widowControl w:val="0"/>
              <w:snapToGrid w:val="0"/>
              <w:jc w:val="center"/>
              <w:rPr>
                <w:rFonts w:ascii="黑体" w:hAnsi="黑体" w:eastAsia="黑体"/>
                <w:bCs/>
                <w:sz w:val="21"/>
                <w:szCs w:val="21"/>
              </w:rPr>
            </w:pPr>
          </w:p>
        </w:tc>
        <w:tc>
          <w:tcPr>
            <w:tcW w:w="667" w:type="dxa"/>
            <w:vMerge w:val="continue"/>
          </w:tcPr>
          <w:p w14:paraId="731C475F">
            <w:pPr>
              <w:pStyle w:val="16"/>
              <w:widowControl w:val="0"/>
              <w:jc w:val="both"/>
              <w:rPr>
                <w:rFonts w:ascii="黑体" w:hAnsi="黑体"/>
                <w:bCs/>
                <w:sz w:val="21"/>
                <w:szCs w:val="21"/>
              </w:rPr>
            </w:pPr>
          </w:p>
        </w:tc>
        <w:tc>
          <w:tcPr>
            <w:tcW w:w="1910" w:type="dxa"/>
            <w:vMerge w:val="continue"/>
          </w:tcPr>
          <w:p w14:paraId="2DF5B165">
            <w:pPr>
              <w:pStyle w:val="16"/>
              <w:widowControl w:val="0"/>
              <w:jc w:val="both"/>
              <w:rPr>
                <w:rFonts w:ascii="黑体" w:hAnsi="黑体"/>
                <w:bCs/>
                <w:sz w:val="21"/>
                <w:szCs w:val="21"/>
              </w:rPr>
            </w:pPr>
          </w:p>
        </w:tc>
        <w:tc>
          <w:tcPr>
            <w:tcW w:w="1358" w:type="dxa"/>
            <w:vAlign w:val="center"/>
          </w:tcPr>
          <w:p w14:paraId="770F3AB3">
            <w:pPr>
              <w:widowControl w:val="0"/>
              <w:snapToGrid w:val="0"/>
              <w:jc w:val="center"/>
              <w:rPr>
                <w:rFonts w:ascii="Arial" w:hAnsi="Arial" w:eastAsia="黑体" w:cs="Arial"/>
                <w:bCs/>
                <w:sz w:val="21"/>
                <w:szCs w:val="21"/>
              </w:rPr>
            </w:pPr>
            <w:r>
              <w:rPr>
                <w:rFonts w:hint="eastAsia" w:ascii="Arial" w:hAnsi="Arial" w:eastAsia="黑体" w:cs="Arial"/>
                <w:bCs/>
                <w:sz w:val="21"/>
                <w:szCs w:val="21"/>
              </w:rPr>
              <w:t>优</w:t>
            </w:r>
          </w:p>
          <w:p w14:paraId="79C03D38">
            <w:pPr>
              <w:widowControl w:val="0"/>
              <w:snapToGrid w:val="0"/>
              <w:jc w:val="center"/>
              <w:rPr>
                <w:rFonts w:ascii="Arial" w:hAnsi="Arial" w:eastAsia="黑体" w:cs="Arial"/>
                <w:bCs/>
                <w:sz w:val="21"/>
                <w:szCs w:val="21"/>
              </w:rPr>
            </w:pPr>
            <w:r>
              <w:rPr>
                <w:rFonts w:ascii="Arial" w:hAnsi="Arial" w:eastAsia="黑体" w:cs="Arial"/>
                <w:bCs/>
                <w:sz w:val="21"/>
                <w:szCs w:val="21"/>
              </w:rPr>
              <w:t>100-90</w:t>
            </w:r>
          </w:p>
        </w:tc>
        <w:tc>
          <w:tcPr>
            <w:tcW w:w="1350" w:type="dxa"/>
            <w:vAlign w:val="center"/>
          </w:tcPr>
          <w:p w14:paraId="6E683FC4">
            <w:pPr>
              <w:widowControl w:val="0"/>
              <w:snapToGrid w:val="0"/>
              <w:jc w:val="center"/>
              <w:rPr>
                <w:rFonts w:ascii="Arial" w:hAnsi="Arial" w:eastAsia="黑体" w:cs="Arial"/>
                <w:bCs/>
                <w:sz w:val="21"/>
                <w:szCs w:val="21"/>
              </w:rPr>
            </w:pPr>
            <w:r>
              <w:rPr>
                <w:rFonts w:hint="eastAsia" w:ascii="Arial" w:hAnsi="Arial" w:eastAsia="黑体" w:cs="Arial"/>
                <w:bCs/>
                <w:sz w:val="21"/>
                <w:szCs w:val="21"/>
              </w:rPr>
              <w:t>良</w:t>
            </w:r>
          </w:p>
          <w:p w14:paraId="487D0B9A">
            <w:pPr>
              <w:widowControl w:val="0"/>
              <w:snapToGrid w:val="0"/>
              <w:jc w:val="center"/>
              <w:rPr>
                <w:rFonts w:ascii="Arial" w:hAnsi="Arial" w:eastAsia="黑体" w:cs="Arial"/>
                <w:bCs/>
                <w:sz w:val="21"/>
                <w:szCs w:val="21"/>
              </w:rPr>
            </w:pPr>
            <w:r>
              <w:rPr>
                <w:rFonts w:ascii="Arial" w:hAnsi="Arial" w:eastAsia="黑体" w:cs="Arial"/>
                <w:bCs/>
                <w:sz w:val="21"/>
                <w:szCs w:val="21"/>
              </w:rPr>
              <w:t>89-75</w:t>
            </w:r>
          </w:p>
        </w:tc>
        <w:tc>
          <w:tcPr>
            <w:tcW w:w="1335" w:type="dxa"/>
            <w:vAlign w:val="center"/>
          </w:tcPr>
          <w:p w14:paraId="71B44C72">
            <w:pPr>
              <w:widowControl w:val="0"/>
              <w:snapToGrid w:val="0"/>
              <w:jc w:val="center"/>
              <w:rPr>
                <w:rFonts w:ascii="Arial" w:hAnsi="Arial" w:eastAsia="黑体" w:cs="Arial"/>
                <w:bCs/>
                <w:sz w:val="21"/>
                <w:szCs w:val="21"/>
              </w:rPr>
            </w:pPr>
            <w:r>
              <w:rPr>
                <w:rFonts w:hint="eastAsia" w:ascii="Arial" w:hAnsi="Arial" w:eastAsia="黑体" w:cs="Arial"/>
                <w:bCs/>
                <w:sz w:val="21"/>
                <w:szCs w:val="21"/>
              </w:rPr>
              <w:t>中</w:t>
            </w:r>
          </w:p>
          <w:p w14:paraId="265410ED">
            <w:pPr>
              <w:widowControl w:val="0"/>
              <w:snapToGrid w:val="0"/>
              <w:jc w:val="center"/>
              <w:rPr>
                <w:rFonts w:ascii="Arial" w:hAnsi="Arial" w:eastAsia="黑体" w:cs="Arial"/>
                <w:bCs/>
                <w:sz w:val="21"/>
                <w:szCs w:val="21"/>
              </w:rPr>
            </w:pPr>
            <w:r>
              <w:rPr>
                <w:rFonts w:ascii="Arial" w:hAnsi="Arial" w:eastAsia="黑体" w:cs="Arial"/>
                <w:bCs/>
                <w:sz w:val="21"/>
                <w:szCs w:val="21"/>
              </w:rPr>
              <w:t>74-60</w:t>
            </w:r>
          </w:p>
        </w:tc>
        <w:tc>
          <w:tcPr>
            <w:tcW w:w="1272" w:type="dxa"/>
            <w:vAlign w:val="center"/>
          </w:tcPr>
          <w:p w14:paraId="1A33CD37">
            <w:pPr>
              <w:widowControl w:val="0"/>
              <w:snapToGrid w:val="0"/>
              <w:jc w:val="center"/>
              <w:rPr>
                <w:rFonts w:ascii="Arial" w:hAnsi="Arial" w:eastAsia="黑体" w:cs="Arial"/>
                <w:bCs/>
                <w:sz w:val="21"/>
                <w:szCs w:val="21"/>
              </w:rPr>
            </w:pPr>
            <w:r>
              <w:rPr>
                <w:rFonts w:hint="eastAsia" w:ascii="Arial" w:hAnsi="Arial" w:eastAsia="黑体" w:cs="Arial"/>
                <w:bCs/>
                <w:sz w:val="21"/>
                <w:szCs w:val="21"/>
              </w:rPr>
              <w:t>不及格</w:t>
            </w:r>
          </w:p>
          <w:p w14:paraId="46423F75">
            <w:pPr>
              <w:widowControl w:val="0"/>
              <w:snapToGrid w:val="0"/>
              <w:jc w:val="center"/>
              <w:rPr>
                <w:rFonts w:ascii="Arial" w:hAnsi="Arial" w:eastAsia="黑体" w:cs="Arial"/>
                <w:bCs/>
                <w:sz w:val="21"/>
                <w:szCs w:val="21"/>
              </w:rPr>
            </w:pPr>
            <w:r>
              <w:rPr>
                <w:rFonts w:ascii="Arial" w:hAnsi="Arial" w:eastAsia="黑体" w:cs="Arial"/>
                <w:bCs/>
                <w:sz w:val="21"/>
                <w:szCs w:val="21"/>
              </w:rPr>
              <w:t>59-0</w:t>
            </w:r>
          </w:p>
        </w:tc>
      </w:tr>
      <w:tr w14:paraId="792F28A4">
        <w:trPr>
          <w:trHeight w:val="454" w:hRule="atLeast"/>
        </w:trPr>
        <w:tc>
          <w:tcPr>
            <w:tcW w:w="630" w:type="dxa"/>
            <w:vMerge w:val="restart"/>
            <w:vAlign w:val="center"/>
          </w:tcPr>
          <w:p w14:paraId="5429845E">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667" w:type="dxa"/>
            <w:vAlign w:val="center"/>
          </w:tcPr>
          <w:p w14:paraId="3ADB9B0C">
            <w:pPr>
              <w:widowControl w:val="0"/>
              <w:snapToGrid w:val="0"/>
              <w:jc w:val="center"/>
              <w:rPr>
                <w:rFonts w:hint="eastAsia" w:ascii="Arial" w:hAnsi="Arial" w:eastAsia="黑体" w:cs="Arial"/>
                <w:bCs/>
                <w:sz w:val="21"/>
                <w:szCs w:val="21"/>
                <w:lang w:val="en-US" w:eastAsia="zh-CN"/>
              </w:rPr>
            </w:pPr>
            <w:r>
              <w:rPr>
                <w:rFonts w:hint="eastAsia" w:ascii="Arial" w:hAnsi="Arial" w:eastAsia="黑体" w:cs="Arial"/>
                <w:bCs/>
                <w:sz w:val="21"/>
                <w:szCs w:val="21"/>
                <w:lang w:val="en-US" w:eastAsia="zh-CN"/>
              </w:rPr>
              <w:t>1</w:t>
            </w:r>
          </w:p>
        </w:tc>
        <w:tc>
          <w:tcPr>
            <w:tcW w:w="1910" w:type="dxa"/>
            <w:vAlign w:val="center"/>
          </w:tcPr>
          <w:p w14:paraId="4A7B3F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hint="eastAsia" w:ascii="Helvetica" w:hAnsi="Helvetica" w:cs="Helvetica" w:eastAsiaTheme="minorEastAsia"/>
                <w:color w:val="000000"/>
                <w:sz w:val="19"/>
                <w:szCs w:val="19"/>
              </w:rPr>
            </w:pPr>
            <w:r>
              <w:rPr>
                <w:rFonts w:hint="eastAsia" w:cs="宋体" w:asciiTheme="minorEastAsia" w:hAnsiTheme="minorEastAsia" w:eastAsiaTheme="minorEastAsia"/>
                <w:bCs/>
                <w:color w:val="auto"/>
                <w:sz w:val="20"/>
                <w:szCs w:val="18"/>
                <w:lang w:val="en-US" w:eastAsia="zh-CN" w:bidi="ar-SA"/>
              </w:rPr>
              <w:t>能够在未来的保育教育活动中贯彻党和国家教育方针政策，遵守幼儿园教师职业道德规范和学前教育法律法规政策，养成良好的职业道德和守法意识。</w:t>
            </w:r>
          </w:p>
        </w:tc>
        <w:tc>
          <w:tcPr>
            <w:tcW w:w="1358" w:type="dxa"/>
            <w:vAlign w:val="center"/>
          </w:tcPr>
          <w:p w14:paraId="5FCD8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vAlign w:val="center"/>
          </w:tcPr>
          <w:p w14:paraId="676A9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vAlign w:val="center"/>
          </w:tcPr>
          <w:p w14:paraId="4F698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vAlign w:val="center"/>
          </w:tcPr>
          <w:p w14:paraId="0FFBD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426460B5">
        <w:trPr>
          <w:trHeight w:val="454" w:hRule="atLeast"/>
        </w:trPr>
        <w:tc>
          <w:tcPr>
            <w:tcW w:w="630" w:type="dxa"/>
            <w:vMerge w:val="continue"/>
            <w:vAlign w:val="center"/>
          </w:tcPr>
          <w:p w14:paraId="03E87EE3">
            <w:pPr>
              <w:widowControl w:val="0"/>
              <w:snapToGrid w:val="0"/>
              <w:jc w:val="center"/>
              <w:rPr>
                <w:rFonts w:ascii="Arial" w:hAnsi="Arial" w:eastAsia="黑体" w:cs="Arial"/>
                <w:bCs/>
                <w:sz w:val="21"/>
                <w:szCs w:val="21"/>
              </w:rPr>
            </w:pPr>
          </w:p>
        </w:tc>
        <w:tc>
          <w:tcPr>
            <w:tcW w:w="667" w:type="dxa"/>
            <w:vAlign w:val="center"/>
          </w:tcPr>
          <w:p w14:paraId="02BCD23C">
            <w:pPr>
              <w:widowControl w:val="0"/>
              <w:snapToGrid w:val="0"/>
              <w:jc w:val="center"/>
              <w:rPr>
                <w:rFonts w:hint="default" w:ascii="Arial" w:hAnsi="Arial" w:eastAsia="黑体" w:cs="Arial"/>
                <w:bCs/>
                <w:sz w:val="21"/>
                <w:szCs w:val="21"/>
                <w:lang w:val="en-US" w:eastAsia="zh-CN"/>
              </w:rPr>
            </w:pPr>
            <w:r>
              <w:rPr>
                <w:rFonts w:hint="eastAsia" w:ascii="Arial" w:hAnsi="Arial" w:eastAsia="黑体" w:cs="Arial"/>
                <w:bCs/>
                <w:sz w:val="21"/>
                <w:szCs w:val="21"/>
                <w:lang w:val="en-US" w:eastAsia="zh-CN"/>
              </w:rPr>
              <w:t>1</w:t>
            </w:r>
          </w:p>
        </w:tc>
        <w:tc>
          <w:tcPr>
            <w:tcW w:w="1910" w:type="dxa"/>
            <w:vAlign w:val="center"/>
          </w:tcPr>
          <w:p w14:paraId="47579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hint="eastAsia" w:cs="宋体" w:asciiTheme="minorEastAsia" w:hAnsiTheme="minorEastAsia" w:eastAsiaTheme="minorEastAsia"/>
                <w:bCs/>
                <w:color w:val="auto"/>
                <w:sz w:val="20"/>
                <w:szCs w:val="18"/>
                <w:lang w:val="en-US" w:eastAsia="zh-CN" w:bidi="ar-SA"/>
              </w:rPr>
            </w:pPr>
            <w:r>
              <w:rPr>
                <w:rFonts w:hint="eastAsia" w:cs="宋体" w:asciiTheme="minorEastAsia" w:hAnsiTheme="minorEastAsia" w:eastAsiaTheme="minorEastAsia"/>
                <w:bCs/>
                <w:color w:val="auto"/>
                <w:sz w:val="20"/>
                <w:szCs w:val="18"/>
                <w:lang w:val="en-US" w:eastAsia="zh-CN" w:bidi="ar-SA"/>
              </w:rPr>
              <w:t>能够坚守科学的儿童观，关爱幼儿，尊重幼儿人格，热爱学前教育事业和幼儿园教师职业，具有专业信念和专业精神。</w:t>
            </w:r>
          </w:p>
        </w:tc>
        <w:tc>
          <w:tcPr>
            <w:tcW w:w="1358" w:type="dxa"/>
            <w:shd w:val="clear" w:color="auto" w:fill="auto"/>
            <w:vAlign w:val="center"/>
          </w:tcPr>
          <w:p w14:paraId="6978E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shd w:val="clear" w:color="auto" w:fill="auto"/>
            <w:vAlign w:val="center"/>
          </w:tcPr>
          <w:p w14:paraId="20D635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shd w:val="clear" w:color="auto" w:fill="auto"/>
            <w:vAlign w:val="center"/>
          </w:tcPr>
          <w:p w14:paraId="1CD93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shd w:val="clear" w:color="auto" w:fill="auto"/>
            <w:vAlign w:val="center"/>
          </w:tcPr>
          <w:p w14:paraId="010D54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22637C1A">
        <w:trPr>
          <w:trHeight w:val="454" w:hRule="atLeast"/>
        </w:trPr>
        <w:tc>
          <w:tcPr>
            <w:tcW w:w="630" w:type="dxa"/>
            <w:vAlign w:val="center"/>
          </w:tcPr>
          <w:p w14:paraId="377A65C8">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667" w:type="dxa"/>
            <w:vAlign w:val="center"/>
          </w:tcPr>
          <w:p w14:paraId="6DB4F70A">
            <w:pPr>
              <w:widowControl w:val="0"/>
              <w:snapToGrid w:val="0"/>
              <w:jc w:val="center"/>
              <w:rPr>
                <w:rFonts w:hint="eastAsia" w:ascii="Arial" w:hAnsi="Arial" w:eastAsia="黑体" w:cs="Arial"/>
                <w:bCs/>
                <w:sz w:val="21"/>
                <w:szCs w:val="21"/>
                <w:lang w:val="en-US" w:eastAsia="zh-CN"/>
              </w:rPr>
            </w:pPr>
            <w:r>
              <w:rPr>
                <w:rFonts w:hint="eastAsia" w:ascii="Arial" w:hAnsi="Arial" w:eastAsia="黑体" w:cs="Arial"/>
                <w:bCs/>
                <w:sz w:val="21"/>
                <w:szCs w:val="21"/>
                <w:lang w:val="en-US" w:eastAsia="zh-CN"/>
              </w:rPr>
              <w:t>2</w:t>
            </w:r>
          </w:p>
        </w:tc>
        <w:tc>
          <w:tcPr>
            <w:tcW w:w="1910" w:type="dxa"/>
            <w:vAlign w:val="center"/>
          </w:tcPr>
          <w:p w14:paraId="35929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hint="eastAsia" w:ascii="Helvetica" w:hAnsi="Helvetica" w:cs="Helvetica" w:eastAsiaTheme="minorEastAsia"/>
                <w:color w:val="000000"/>
                <w:sz w:val="19"/>
                <w:szCs w:val="19"/>
              </w:rPr>
            </w:pPr>
            <w:r>
              <w:rPr>
                <w:rFonts w:hint="eastAsia" w:asciiTheme="minorEastAsia" w:hAnsiTheme="minorEastAsia" w:eastAsiaTheme="minorEastAsia"/>
                <w:bCs/>
                <w:color w:val="auto"/>
                <w:sz w:val="20"/>
                <w:szCs w:val="18"/>
              </w:rPr>
              <w:t>通过解释学前教育法规政策的基本理论，能够列出、复述、解释、比较幼儿园、教师、幼儿的权利、义务与法律责任</w:t>
            </w:r>
            <w:r>
              <w:rPr>
                <w:rFonts w:hint="eastAsia" w:asciiTheme="minorEastAsia" w:hAnsiTheme="minorEastAsia" w:eastAsiaTheme="minorEastAsia"/>
                <w:bCs/>
                <w:color w:val="auto"/>
                <w:sz w:val="20"/>
                <w:szCs w:val="18"/>
                <w:lang w:val="en-US" w:eastAsia="zh-CN"/>
              </w:rPr>
              <w:t>。</w:t>
            </w:r>
          </w:p>
        </w:tc>
        <w:tc>
          <w:tcPr>
            <w:tcW w:w="1358" w:type="dxa"/>
            <w:shd w:val="clear" w:color="auto" w:fill="auto"/>
            <w:vAlign w:val="center"/>
          </w:tcPr>
          <w:p w14:paraId="237B08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shd w:val="clear" w:color="auto" w:fill="auto"/>
            <w:vAlign w:val="center"/>
          </w:tcPr>
          <w:p w14:paraId="0A56E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shd w:val="clear" w:color="auto" w:fill="auto"/>
            <w:vAlign w:val="center"/>
          </w:tcPr>
          <w:p w14:paraId="7B4B9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shd w:val="clear" w:color="auto" w:fill="auto"/>
            <w:vAlign w:val="center"/>
          </w:tcPr>
          <w:p w14:paraId="3538E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0440823D">
        <w:trPr>
          <w:trHeight w:val="454" w:hRule="atLeast"/>
        </w:trPr>
        <w:tc>
          <w:tcPr>
            <w:tcW w:w="630" w:type="dxa"/>
            <w:vMerge w:val="restart"/>
            <w:vAlign w:val="center"/>
          </w:tcPr>
          <w:p w14:paraId="62F7ABDB">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667" w:type="dxa"/>
            <w:vAlign w:val="center"/>
          </w:tcPr>
          <w:p w14:paraId="371E4A20">
            <w:pPr>
              <w:widowControl w:val="0"/>
              <w:snapToGrid w:val="0"/>
              <w:jc w:val="center"/>
              <w:rPr>
                <w:rFonts w:hint="eastAsia" w:ascii="Arial" w:hAnsi="Arial" w:eastAsia="黑体" w:cs="Arial"/>
                <w:bCs/>
                <w:sz w:val="21"/>
                <w:szCs w:val="21"/>
                <w:lang w:val="en-US" w:eastAsia="zh-CN"/>
              </w:rPr>
            </w:pPr>
            <w:r>
              <w:rPr>
                <w:rFonts w:hint="eastAsia" w:ascii="Arial" w:hAnsi="Arial" w:eastAsia="黑体" w:cs="Arial"/>
                <w:bCs/>
                <w:sz w:val="21"/>
                <w:szCs w:val="21"/>
                <w:lang w:val="en-US" w:eastAsia="zh-CN"/>
              </w:rPr>
              <w:t>3</w:t>
            </w:r>
          </w:p>
        </w:tc>
        <w:tc>
          <w:tcPr>
            <w:tcW w:w="1910" w:type="dxa"/>
            <w:vAlign w:val="center"/>
          </w:tcPr>
          <w:p w14:paraId="5F4CEABE">
            <w:pPr>
              <w:pStyle w:val="14"/>
              <w:widowControl w:val="0"/>
              <w:rPr>
                <w:rFonts w:hint="eastAsia" w:ascii="Helvetica" w:hAnsi="Helvetica" w:cs="Helvetica" w:eastAsiaTheme="minorEastAsia"/>
                <w:color w:val="000000"/>
                <w:sz w:val="19"/>
                <w:szCs w:val="19"/>
              </w:rPr>
            </w:pPr>
            <w:r>
              <w:rPr>
                <w:rFonts w:hint="eastAsia" w:asciiTheme="minorEastAsia" w:hAnsiTheme="minorEastAsia" w:eastAsiaTheme="minorEastAsia"/>
                <w:bCs/>
                <w:color w:val="auto"/>
                <w:sz w:val="20"/>
                <w:szCs w:val="18"/>
              </w:rPr>
              <w:t>能够列出、复述、解释《纲要》《指南》等系列学前教育政策</w:t>
            </w:r>
            <w:r>
              <w:rPr>
                <w:rFonts w:hint="eastAsia" w:asciiTheme="minorEastAsia" w:hAnsiTheme="minorEastAsia" w:eastAsiaTheme="minorEastAsia"/>
                <w:bCs/>
                <w:color w:val="auto"/>
                <w:sz w:val="20"/>
                <w:szCs w:val="18"/>
                <w:lang w:eastAsia="zh-CN"/>
              </w:rPr>
              <w:t>。</w:t>
            </w:r>
          </w:p>
        </w:tc>
        <w:tc>
          <w:tcPr>
            <w:tcW w:w="1358" w:type="dxa"/>
            <w:vAlign w:val="center"/>
          </w:tcPr>
          <w:p w14:paraId="69AEC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vAlign w:val="center"/>
          </w:tcPr>
          <w:p w14:paraId="45F07A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vAlign w:val="center"/>
          </w:tcPr>
          <w:p w14:paraId="0CB75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vAlign w:val="center"/>
          </w:tcPr>
          <w:p w14:paraId="23484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6F804628">
        <w:trPr>
          <w:trHeight w:val="454" w:hRule="atLeast"/>
        </w:trPr>
        <w:tc>
          <w:tcPr>
            <w:tcW w:w="630" w:type="dxa"/>
            <w:vMerge w:val="continue"/>
            <w:vAlign w:val="center"/>
          </w:tcPr>
          <w:p w14:paraId="25B9D30F">
            <w:pPr>
              <w:widowControl w:val="0"/>
              <w:snapToGrid w:val="0"/>
              <w:jc w:val="center"/>
              <w:rPr>
                <w:rFonts w:ascii="Arial" w:hAnsi="Arial" w:eastAsia="黑体" w:cs="Arial"/>
                <w:bCs/>
                <w:sz w:val="21"/>
                <w:szCs w:val="21"/>
              </w:rPr>
            </w:pPr>
          </w:p>
        </w:tc>
        <w:tc>
          <w:tcPr>
            <w:tcW w:w="667" w:type="dxa"/>
            <w:vAlign w:val="center"/>
          </w:tcPr>
          <w:p w14:paraId="65A54920">
            <w:pPr>
              <w:widowControl w:val="0"/>
              <w:snapToGrid w:val="0"/>
              <w:jc w:val="center"/>
              <w:rPr>
                <w:rFonts w:hint="default" w:ascii="Arial" w:hAnsi="Arial" w:eastAsia="黑体" w:cs="Arial"/>
                <w:bCs/>
                <w:sz w:val="21"/>
                <w:szCs w:val="21"/>
                <w:lang w:val="en-US" w:eastAsia="zh-CN"/>
              </w:rPr>
            </w:pPr>
            <w:r>
              <w:rPr>
                <w:rFonts w:hint="eastAsia" w:ascii="Arial" w:hAnsi="Arial" w:eastAsia="黑体" w:cs="Arial"/>
                <w:bCs/>
                <w:sz w:val="21"/>
                <w:szCs w:val="21"/>
                <w:lang w:val="en-US" w:eastAsia="zh-CN"/>
              </w:rPr>
              <w:t>3</w:t>
            </w:r>
          </w:p>
        </w:tc>
        <w:tc>
          <w:tcPr>
            <w:tcW w:w="1910" w:type="dxa"/>
            <w:vAlign w:val="center"/>
          </w:tcPr>
          <w:p w14:paraId="78D7279F">
            <w:pPr>
              <w:pStyle w:val="14"/>
              <w:widowControl w:val="0"/>
              <w:rPr>
                <w:rFonts w:hint="eastAsia" w:ascii="Helvetica" w:hAnsi="Helvetica" w:cs="Helvetica" w:eastAsiaTheme="minorEastAsia"/>
                <w:color w:val="000000"/>
                <w:sz w:val="19"/>
                <w:szCs w:val="19"/>
              </w:rPr>
            </w:pPr>
            <w:r>
              <w:rPr>
                <w:rFonts w:hint="eastAsia" w:asciiTheme="minorEastAsia" w:hAnsiTheme="minorEastAsia" w:eastAsiaTheme="minorEastAsia"/>
                <w:bCs/>
                <w:color w:val="auto"/>
                <w:sz w:val="20"/>
                <w:szCs w:val="18"/>
              </w:rPr>
              <w:t>能够列出、复述、解释我国学前教育法规政策规定的幼儿园环境创设、一日生活组织与实施、保育、幼儿园集体教学与区域活动等教育活动、安全应急、家园社区共育以及幼儿园和班级管理等保育教育环节的基本原则、目标、任务、内容、要求、技能和方法。</w:t>
            </w:r>
          </w:p>
        </w:tc>
        <w:tc>
          <w:tcPr>
            <w:tcW w:w="1358" w:type="dxa"/>
            <w:vAlign w:val="center"/>
          </w:tcPr>
          <w:p w14:paraId="02788D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vAlign w:val="center"/>
          </w:tcPr>
          <w:p w14:paraId="5C1C74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vAlign w:val="center"/>
          </w:tcPr>
          <w:p w14:paraId="768F8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vAlign w:val="center"/>
          </w:tcPr>
          <w:p w14:paraId="3BF97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45360EAE">
        <w:trPr>
          <w:trHeight w:val="454" w:hRule="atLeast"/>
        </w:trPr>
        <w:tc>
          <w:tcPr>
            <w:tcW w:w="630" w:type="dxa"/>
            <w:vMerge w:val="continue"/>
            <w:vAlign w:val="center"/>
          </w:tcPr>
          <w:p w14:paraId="0A6F8BE4">
            <w:pPr>
              <w:widowControl w:val="0"/>
              <w:snapToGrid w:val="0"/>
              <w:jc w:val="center"/>
              <w:rPr>
                <w:rFonts w:ascii="Arial" w:hAnsi="Arial" w:eastAsia="黑体" w:cs="Arial"/>
                <w:bCs/>
                <w:sz w:val="21"/>
                <w:szCs w:val="21"/>
              </w:rPr>
            </w:pPr>
          </w:p>
        </w:tc>
        <w:tc>
          <w:tcPr>
            <w:tcW w:w="667" w:type="dxa"/>
            <w:vAlign w:val="center"/>
          </w:tcPr>
          <w:p w14:paraId="072F2654">
            <w:pPr>
              <w:widowControl w:val="0"/>
              <w:snapToGrid w:val="0"/>
              <w:jc w:val="center"/>
              <w:rPr>
                <w:rFonts w:hint="default" w:ascii="Arial" w:hAnsi="Arial" w:eastAsia="黑体" w:cs="Arial"/>
                <w:bCs/>
                <w:sz w:val="21"/>
                <w:szCs w:val="21"/>
                <w:lang w:val="en-US" w:eastAsia="zh-CN"/>
              </w:rPr>
            </w:pPr>
            <w:r>
              <w:rPr>
                <w:rFonts w:hint="eastAsia" w:ascii="Arial" w:hAnsi="Arial" w:eastAsia="黑体" w:cs="Arial"/>
                <w:bCs/>
                <w:sz w:val="21"/>
                <w:szCs w:val="21"/>
                <w:lang w:val="en-US" w:eastAsia="zh-CN"/>
              </w:rPr>
              <w:t>3</w:t>
            </w:r>
          </w:p>
        </w:tc>
        <w:tc>
          <w:tcPr>
            <w:tcW w:w="1910" w:type="dxa"/>
            <w:vAlign w:val="center"/>
          </w:tcPr>
          <w:p w14:paraId="5B9581ED">
            <w:pPr>
              <w:pStyle w:val="14"/>
              <w:widowControl w:val="0"/>
              <w:jc w:val="left"/>
              <w:rPr>
                <w:rFonts w:hint="eastAsia" w:ascii="Helvetica" w:hAnsi="Helvetica" w:cs="Helvetica" w:eastAsiaTheme="minorEastAsia"/>
                <w:color w:val="000000"/>
                <w:sz w:val="19"/>
                <w:szCs w:val="19"/>
              </w:rPr>
            </w:pPr>
            <w:r>
              <w:rPr>
                <w:rFonts w:hint="eastAsia" w:ascii="宋体" w:hAnsi="宋体"/>
                <w:bCs/>
                <w:lang w:val="en-US" w:eastAsia="zh-CN"/>
              </w:rPr>
              <w:t>能够列出、解释、运用学前教育法律救济的基本原则、程序、方法，能够识别保教活动中的不安全因素并能紧急应对处置，不断提升运用法律政策知识保护幼儿园、幼儿和本人合法权益的能力。</w:t>
            </w:r>
          </w:p>
        </w:tc>
        <w:tc>
          <w:tcPr>
            <w:tcW w:w="1358" w:type="dxa"/>
            <w:vAlign w:val="center"/>
          </w:tcPr>
          <w:p w14:paraId="20B6B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vAlign w:val="center"/>
          </w:tcPr>
          <w:p w14:paraId="405122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vAlign w:val="center"/>
          </w:tcPr>
          <w:p w14:paraId="0376C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vAlign w:val="center"/>
          </w:tcPr>
          <w:p w14:paraId="313AEC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3CE99995">
        <w:trPr>
          <w:trHeight w:val="454" w:hRule="atLeast"/>
        </w:trPr>
        <w:tc>
          <w:tcPr>
            <w:tcW w:w="630" w:type="dxa"/>
            <w:vAlign w:val="center"/>
          </w:tcPr>
          <w:p w14:paraId="04D6A96F">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667" w:type="dxa"/>
            <w:vAlign w:val="center"/>
          </w:tcPr>
          <w:p w14:paraId="5EE4F707">
            <w:pPr>
              <w:widowControl w:val="0"/>
              <w:snapToGrid w:val="0"/>
              <w:jc w:val="center"/>
              <w:rPr>
                <w:rFonts w:hint="eastAsia" w:ascii="Arial" w:hAnsi="Arial" w:eastAsia="黑体" w:cs="Arial"/>
                <w:bCs/>
                <w:sz w:val="21"/>
                <w:szCs w:val="21"/>
                <w:lang w:val="en-US" w:eastAsia="zh-CN"/>
              </w:rPr>
            </w:pPr>
            <w:r>
              <w:rPr>
                <w:rFonts w:hint="eastAsia" w:ascii="Arial" w:hAnsi="Arial" w:eastAsia="黑体" w:cs="Arial"/>
                <w:bCs/>
                <w:sz w:val="21"/>
                <w:szCs w:val="21"/>
                <w:lang w:val="en-US" w:eastAsia="zh-CN"/>
              </w:rPr>
              <w:t>4</w:t>
            </w:r>
          </w:p>
        </w:tc>
        <w:tc>
          <w:tcPr>
            <w:tcW w:w="1910" w:type="dxa"/>
            <w:vAlign w:val="center"/>
          </w:tcPr>
          <w:p w14:paraId="25EFD3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hint="eastAsia" w:ascii="Helvetica" w:hAnsi="Helvetica" w:cs="Helvetica" w:eastAsiaTheme="minorEastAsia"/>
                <w:color w:val="000000"/>
                <w:sz w:val="19"/>
                <w:szCs w:val="19"/>
              </w:rPr>
            </w:pPr>
            <w:r>
              <w:rPr>
                <w:rFonts w:hint="eastAsia" w:cs="宋体" w:asciiTheme="minorEastAsia" w:hAnsiTheme="minorEastAsia" w:eastAsiaTheme="minorEastAsia"/>
                <w:bCs/>
                <w:color w:val="auto"/>
                <w:sz w:val="20"/>
                <w:szCs w:val="18"/>
                <w:lang w:val="en-US" w:eastAsia="zh-CN" w:bidi="ar-SA"/>
              </w:rPr>
              <w:t>能够运用幼儿教育的政策、法律、法规解决办园实践中的具体问题。</w:t>
            </w:r>
          </w:p>
        </w:tc>
        <w:tc>
          <w:tcPr>
            <w:tcW w:w="1358" w:type="dxa"/>
            <w:shd w:val="clear" w:color="auto" w:fill="auto"/>
            <w:vAlign w:val="center"/>
          </w:tcPr>
          <w:p w14:paraId="72B0D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shd w:val="clear" w:color="auto" w:fill="auto"/>
            <w:vAlign w:val="center"/>
          </w:tcPr>
          <w:p w14:paraId="69ECB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shd w:val="clear" w:color="auto" w:fill="auto"/>
            <w:vAlign w:val="center"/>
          </w:tcPr>
          <w:p w14:paraId="444F78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shd w:val="clear" w:color="auto" w:fill="auto"/>
            <w:vAlign w:val="center"/>
          </w:tcPr>
          <w:p w14:paraId="38384F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bl>
    <w:p w14:paraId="16A8EB5F">
      <w:pPr>
        <w:pStyle w:val="16"/>
        <w:spacing w:before="326" w:beforeLines="100" w:line="360" w:lineRule="auto"/>
        <w:rPr>
          <w:rFonts w:ascii="黑体" w:hAnsi="宋体"/>
        </w:rPr>
      </w:pPr>
      <w:r>
        <w:rPr>
          <w:rFonts w:hint="eastAsia" w:ascii="黑体" w:hAnsi="宋体"/>
        </w:rPr>
        <w:t xml:space="preserve">六、其他需要说明的问题 </w:t>
      </w:r>
    </w:p>
    <w:tbl>
      <w:tblPr>
        <w:tblStyle w:val="8"/>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14:paraId="684E0737">
        <w:tc>
          <w:tcPr>
            <w:tcW w:w="8296" w:type="dxa"/>
          </w:tcPr>
          <w:p w14:paraId="75F6D45F">
            <w:pPr>
              <w:pStyle w:val="14"/>
              <w:widowControl w:val="0"/>
              <w:jc w:val="left"/>
              <w:rPr>
                <w:rFonts w:hint="eastAsia" w:ascii="仿宋" w:hAnsi="仿宋" w:eastAsia="仿宋" w:cs="仿宋"/>
                <w:lang w:val="en-US" w:eastAsia="zh-CN"/>
              </w:rPr>
            </w:pPr>
            <w:r>
              <w:rPr>
                <w:rFonts w:hint="eastAsia" w:ascii="仿宋" w:hAnsi="仿宋" w:eastAsia="仿宋" w:cs="仿宋"/>
                <w:lang w:val="en-US" w:eastAsia="zh-CN"/>
              </w:rPr>
              <w:t>无</w:t>
            </w:r>
          </w:p>
          <w:p w14:paraId="7AD2500C">
            <w:pPr>
              <w:pStyle w:val="14"/>
              <w:widowControl w:val="0"/>
              <w:jc w:val="left"/>
              <w:rPr>
                <w:rFonts w:ascii="宋体" w:hAnsi="宋体"/>
                <w:bCs/>
              </w:rPr>
            </w:pPr>
          </w:p>
          <w:p w14:paraId="3FF6B68B">
            <w:pPr>
              <w:pStyle w:val="14"/>
              <w:widowControl w:val="0"/>
              <w:jc w:val="left"/>
              <w:rPr>
                <w:rFonts w:ascii="黑体"/>
              </w:rPr>
            </w:pPr>
          </w:p>
        </w:tc>
      </w:tr>
    </w:tbl>
    <w:p w14:paraId="43B59788">
      <w:pPr>
        <w:pStyle w:val="16"/>
        <w:rPr>
          <w:rFonts w:hint="eastAsia" w:ascii="黑体" w:hAnsi="宋体"/>
          <w:sz w:val="18"/>
          <w:szCs w:val="16"/>
        </w:rPr>
      </w:pPr>
    </w:p>
    <w:sectPr>
      <w:headerReference r:id="rId3" w:type="default"/>
      <w:pgSz w:w="11906" w:h="16838"/>
      <w:pgMar w:top="1440" w:right="1800" w:bottom="1440" w:left="1800" w:header="397"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8A2F67B-DAB1-1761-0B9B-0B6795A164DA}"/>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5F71F1CE-BEC9-C337-0B9B-0B6731B6FD37}"/>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3" w:fontKey="{4A064DC9-9D4E-95DB-0B9B-0B677931EEB5}"/>
  </w:font>
  <w:font w:name="Helvetica">
    <w:panose1 w:val="00000000000000000000"/>
    <w:charset w:val="00"/>
    <w:family w:val="auto"/>
    <w:pitch w:val="default"/>
    <w:sig w:usb0="E00002FF" w:usb1="5000785B" w:usb2="00000000" w:usb3="00000000" w:csb0="2000019F" w:csb1="4F010000"/>
  </w:font>
  <w:font w:name="TimesNewRomanPSMT">
    <w:panose1 w:val="02020603050405020304"/>
    <w:charset w:val="00"/>
    <w:family w:val="roman"/>
    <w:pitch w:val="default"/>
    <w:sig w:usb0="E0002AEF" w:usb1="C0007841" w:usb2="00000009" w:usb3="00000000" w:csb0="400001FF" w:csb1="FFFF0000"/>
    <w:embedRegular r:id="rId4" w:fontKey="{3B4E6728-DD8D-4128-0B9B-0B67C3CD6951}"/>
  </w:font>
  <w:font w:name="方正小标宋简体">
    <w:panose1 w:val="02000000000000000000"/>
    <w:charset w:val="86"/>
    <w:family w:val="script"/>
    <w:pitch w:val="default"/>
    <w:sig w:usb0="00000001" w:usb1="08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4FE2">
    <w:pPr>
      <w:jc w:val="right"/>
      <w:rPr>
        <w:rFonts w:ascii="方正小标宋简体" w:hAnsi="方正小标宋简体" w:eastAsia="方正小标宋简体"/>
      </w:rPr>
    </w:pPr>
    <w:r>
      <w:rPr>
        <w:rFonts w:ascii="方正小标宋简体" w:hAnsi="方正小标宋简体" w:eastAsia="方正小标宋简体"/>
        <w:color w:val="FF0000"/>
      </w:rPr>
      <mc:AlternateContent>
        <mc:Choice Requires="wps">
          <w:drawing>
            <wp:anchor distT="0" distB="0" distL="114300" distR="114300" simplePos="0" relativeHeight="251659264" behindDoc="0" locked="0" layoutInCell="1" allowOverlap="1">
              <wp:simplePos x="0" y="0"/>
              <wp:positionH relativeFrom="page">
                <wp:posOffset>635635</wp:posOffset>
              </wp:positionH>
              <wp:positionV relativeFrom="page">
                <wp:posOffset>186055</wp:posOffset>
              </wp:positionV>
              <wp:extent cx="2635250" cy="280670"/>
              <wp:effectExtent l="0" t="0" r="0" b="0"/>
              <wp:wrapNone/>
              <wp:docPr id="440709761" name="文本框 1"/>
              <wp:cNvGraphicFramePr/>
              <a:graphic xmlns:a="http://schemas.openxmlformats.org/drawingml/2006/main">
                <a:graphicData uri="http://schemas.microsoft.com/office/word/2010/wordprocessingShape">
                  <wps:wsp>
                    <wps:cNvSpPr txBox="1"/>
                    <wps:spPr>
                      <a:xfrm>
                        <a:off x="0" y="0"/>
                        <a:ext cx="2635250" cy="280670"/>
                      </a:xfrm>
                      <a:prstGeom prst="rect">
                        <a:avLst/>
                      </a:prstGeom>
                      <a:solidFill>
                        <a:srgbClr val="FFFFFF"/>
                      </a:solidFill>
                      <a:ln w="6350">
                        <a:noFill/>
                      </a:ln>
                      <a:effectLst/>
                    </wps:spPr>
                    <wps:txbx>
                      <w:txbxContent>
                        <w:p w14:paraId="07D270E5">
                          <w:pPr>
                            <w:rPr>
                              <w:rFonts w:ascii="Times New Roman" w:hAnsi="Times New Roman"/>
                            </w:rPr>
                          </w:pPr>
                          <w:r>
                            <w:rPr>
                              <w:rFonts w:ascii="Times New Roman" w:hAnsi="Times New Roman"/>
                            </w:rPr>
                            <w:t>SJQU-QR-JW-055（A0）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0.05pt;margin-top:14.65pt;height:22.1pt;width:207.5pt;mso-position-horizontal-relative:page;mso-position-vertical-relative:page;z-index:251659264;mso-width-relative:page;mso-height-relative:page;" fillcolor="#FFFFFF" filled="t" stroked="f" coordsize="21600,21600" o:gfxdata="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7hkpnU&#10;AAAACQEAAA8AAAAAAAAAAQAgAAAAIgAAAGRycy9kb3ducmV2LnhtbFBLAQIUABQAAAAIAIdO4kAT&#10;jzfzXQIAAKUEAAAOAAAAAAAAAAEAIAAAACMBAABkcnMvZTJvRG9jLnhtbFBLBQYAAAAABgAGAFkB&#10;AADyBQAAAAA=&#10;">
              <v:fill on="t" focussize="0,0"/>
              <v:stroke on="f" weight="0.5pt"/>
              <v:imagedata o:title=""/>
              <o:lock v:ext="edit" aspectratio="f"/>
              <v:textbox>
                <w:txbxContent>
                  <w:p w14:paraId="07D270E5">
                    <w:pPr>
                      <w:rPr>
                        <w:rFonts w:ascii="Times New Roman" w:hAnsi="Times New Roman"/>
                      </w:rPr>
                    </w:pPr>
                    <w:r>
                      <w:rPr>
                        <w:rFonts w:ascii="Times New Roman" w:hAnsi="Times New Roman"/>
                      </w:rPr>
                      <w:t>SJQU-QR-JW-055（A0）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44363D"/>
    <w:multiLevelType w:val="singleLevel"/>
    <w:tmpl w:val="A244363D"/>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kY2U4YjVlMzE1M2RkMWY3NzQ2NDc0OGI3YWViM2UifQ=="/>
  </w:docVars>
  <w:rsids>
    <w:rsidRoot w:val="00B7651F"/>
    <w:rsid w:val="000203E0"/>
    <w:rsid w:val="000210E0"/>
    <w:rsid w:val="00033082"/>
    <w:rsid w:val="00044088"/>
    <w:rsid w:val="00053590"/>
    <w:rsid w:val="0006001D"/>
    <w:rsid w:val="00066041"/>
    <w:rsid w:val="00076794"/>
    <w:rsid w:val="0008122A"/>
    <w:rsid w:val="00087488"/>
    <w:rsid w:val="0009050A"/>
    <w:rsid w:val="0009721F"/>
    <w:rsid w:val="000A4E73"/>
    <w:rsid w:val="000B1BD2"/>
    <w:rsid w:val="000C0F0D"/>
    <w:rsid w:val="000C13BC"/>
    <w:rsid w:val="000D28E5"/>
    <w:rsid w:val="000D34D7"/>
    <w:rsid w:val="00100633"/>
    <w:rsid w:val="001072BC"/>
    <w:rsid w:val="00114BD6"/>
    <w:rsid w:val="00130F6D"/>
    <w:rsid w:val="00133554"/>
    <w:rsid w:val="00144082"/>
    <w:rsid w:val="0016381F"/>
    <w:rsid w:val="00163A48"/>
    <w:rsid w:val="00164E36"/>
    <w:rsid w:val="001678A2"/>
    <w:rsid w:val="00183AA1"/>
    <w:rsid w:val="0018767C"/>
    <w:rsid w:val="001A135C"/>
    <w:rsid w:val="001B0D49"/>
    <w:rsid w:val="001B546F"/>
    <w:rsid w:val="001C16FC"/>
    <w:rsid w:val="001C2E3E"/>
    <w:rsid w:val="001C388D"/>
    <w:rsid w:val="001E0494"/>
    <w:rsid w:val="001E1D2D"/>
    <w:rsid w:val="001E5A17"/>
    <w:rsid w:val="001F284E"/>
    <w:rsid w:val="001F332E"/>
    <w:rsid w:val="00217861"/>
    <w:rsid w:val="002204E4"/>
    <w:rsid w:val="002211BF"/>
    <w:rsid w:val="00233F15"/>
    <w:rsid w:val="002420F1"/>
    <w:rsid w:val="00253AC8"/>
    <w:rsid w:val="00256B39"/>
    <w:rsid w:val="0026033C"/>
    <w:rsid w:val="0027339A"/>
    <w:rsid w:val="00274E82"/>
    <w:rsid w:val="002757AB"/>
    <w:rsid w:val="0027777C"/>
    <w:rsid w:val="00277FE7"/>
    <w:rsid w:val="002877FA"/>
    <w:rsid w:val="00290962"/>
    <w:rsid w:val="0029110B"/>
    <w:rsid w:val="002A4649"/>
    <w:rsid w:val="002A7227"/>
    <w:rsid w:val="002B0773"/>
    <w:rsid w:val="002B0C48"/>
    <w:rsid w:val="002B13CA"/>
    <w:rsid w:val="002B3650"/>
    <w:rsid w:val="002B7322"/>
    <w:rsid w:val="002C58B6"/>
    <w:rsid w:val="002D0E86"/>
    <w:rsid w:val="002D7C47"/>
    <w:rsid w:val="002E33CE"/>
    <w:rsid w:val="002E3721"/>
    <w:rsid w:val="002E6F95"/>
    <w:rsid w:val="002E764D"/>
    <w:rsid w:val="002F3157"/>
    <w:rsid w:val="002F6BD5"/>
    <w:rsid w:val="00305F23"/>
    <w:rsid w:val="00313BBA"/>
    <w:rsid w:val="00317E29"/>
    <w:rsid w:val="00321515"/>
    <w:rsid w:val="0032602E"/>
    <w:rsid w:val="00327B8C"/>
    <w:rsid w:val="00331638"/>
    <w:rsid w:val="003344A7"/>
    <w:rsid w:val="00334623"/>
    <w:rsid w:val="003367AE"/>
    <w:rsid w:val="00340439"/>
    <w:rsid w:val="00344EF2"/>
    <w:rsid w:val="00347EB8"/>
    <w:rsid w:val="00347F80"/>
    <w:rsid w:val="00353F74"/>
    <w:rsid w:val="003557DE"/>
    <w:rsid w:val="00361BEB"/>
    <w:rsid w:val="00370184"/>
    <w:rsid w:val="00373C8A"/>
    <w:rsid w:val="00377C10"/>
    <w:rsid w:val="00384A1F"/>
    <w:rsid w:val="00384D60"/>
    <w:rsid w:val="00385D41"/>
    <w:rsid w:val="003861BA"/>
    <w:rsid w:val="003A1680"/>
    <w:rsid w:val="003A373C"/>
    <w:rsid w:val="003A5874"/>
    <w:rsid w:val="003B1258"/>
    <w:rsid w:val="003B4A81"/>
    <w:rsid w:val="003C1F8D"/>
    <w:rsid w:val="003C61A5"/>
    <w:rsid w:val="003D1968"/>
    <w:rsid w:val="003D4994"/>
    <w:rsid w:val="003E10A5"/>
    <w:rsid w:val="003E7D72"/>
    <w:rsid w:val="003F3923"/>
    <w:rsid w:val="003F43F6"/>
    <w:rsid w:val="004019DB"/>
    <w:rsid w:val="00402B67"/>
    <w:rsid w:val="00403C91"/>
    <w:rsid w:val="0040433E"/>
    <w:rsid w:val="00404974"/>
    <w:rsid w:val="0040726A"/>
    <w:rsid w:val="004100B0"/>
    <w:rsid w:val="0041267F"/>
    <w:rsid w:val="00424BA5"/>
    <w:rsid w:val="00425431"/>
    <w:rsid w:val="00431829"/>
    <w:rsid w:val="00437B60"/>
    <w:rsid w:val="004405E6"/>
    <w:rsid w:val="00443C84"/>
    <w:rsid w:val="00443C89"/>
    <w:rsid w:val="004540AA"/>
    <w:rsid w:val="00456BD8"/>
    <w:rsid w:val="00456DC8"/>
    <w:rsid w:val="0046549D"/>
    <w:rsid w:val="00471668"/>
    <w:rsid w:val="00481F98"/>
    <w:rsid w:val="004852BF"/>
    <w:rsid w:val="00487A46"/>
    <w:rsid w:val="00493504"/>
    <w:rsid w:val="00494579"/>
    <w:rsid w:val="00497334"/>
    <w:rsid w:val="004A4645"/>
    <w:rsid w:val="004A6F3A"/>
    <w:rsid w:val="004B408D"/>
    <w:rsid w:val="004B6F68"/>
    <w:rsid w:val="004B73F7"/>
    <w:rsid w:val="004D4FB3"/>
    <w:rsid w:val="004D75A6"/>
    <w:rsid w:val="004E3456"/>
    <w:rsid w:val="004F3DF0"/>
    <w:rsid w:val="005074E1"/>
    <w:rsid w:val="005126F1"/>
    <w:rsid w:val="00513F2F"/>
    <w:rsid w:val="0051612A"/>
    <w:rsid w:val="00517176"/>
    <w:rsid w:val="0052192E"/>
    <w:rsid w:val="00524300"/>
    <w:rsid w:val="00541F72"/>
    <w:rsid w:val="00542388"/>
    <w:rsid w:val="00544523"/>
    <w:rsid w:val="005467DC"/>
    <w:rsid w:val="00546A82"/>
    <w:rsid w:val="00547C51"/>
    <w:rsid w:val="00551335"/>
    <w:rsid w:val="005519BB"/>
    <w:rsid w:val="005523FD"/>
    <w:rsid w:val="00553D03"/>
    <w:rsid w:val="00555BA0"/>
    <w:rsid w:val="00556E41"/>
    <w:rsid w:val="0057496F"/>
    <w:rsid w:val="005770A6"/>
    <w:rsid w:val="0059045B"/>
    <w:rsid w:val="00597EC2"/>
    <w:rsid w:val="005A13AB"/>
    <w:rsid w:val="005B1150"/>
    <w:rsid w:val="005B1FFC"/>
    <w:rsid w:val="005B2B6D"/>
    <w:rsid w:val="005B4B4E"/>
    <w:rsid w:val="005C3A76"/>
    <w:rsid w:val="005D5B6F"/>
    <w:rsid w:val="005E38A5"/>
    <w:rsid w:val="005F5185"/>
    <w:rsid w:val="0062115C"/>
    <w:rsid w:val="0062265B"/>
    <w:rsid w:val="00624B5C"/>
    <w:rsid w:val="00624FE1"/>
    <w:rsid w:val="0062577D"/>
    <w:rsid w:val="0063249D"/>
    <w:rsid w:val="006331EE"/>
    <w:rsid w:val="006355E6"/>
    <w:rsid w:val="00637E00"/>
    <w:rsid w:val="0064038A"/>
    <w:rsid w:val="0065167D"/>
    <w:rsid w:val="00652D13"/>
    <w:rsid w:val="0066595A"/>
    <w:rsid w:val="00666206"/>
    <w:rsid w:val="00672788"/>
    <w:rsid w:val="00676183"/>
    <w:rsid w:val="00680DA3"/>
    <w:rsid w:val="0068377F"/>
    <w:rsid w:val="00691B24"/>
    <w:rsid w:val="00695B93"/>
    <w:rsid w:val="00697C16"/>
    <w:rsid w:val="006A5A89"/>
    <w:rsid w:val="006B3BB9"/>
    <w:rsid w:val="006B48AC"/>
    <w:rsid w:val="006B5977"/>
    <w:rsid w:val="006D1B59"/>
    <w:rsid w:val="006D2F9C"/>
    <w:rsid w:val="006D4351"/>
    <w:rsid w:val="006D5424"/>
    <w:rsid w:val="006E5CA9"/>
    <w:rsid w:val="006E5E98"/>
    <w:rsid w:val="006E7A37"/>
    <w:rsid w:val="006F3151"/>
    <w:rsid w:val="007011CA"/>
    <w:rsid w:val="007056DE"/>
    <w:rsid w:val="00706121"/>
    <w:rsid w:val="00710B6B"/>
    <w:rsid w:val="00712A2C"/>
    <w:rsid w:val="00712E84"/>
    <w:rsid w:val="00714914"/>
    <w:rsid w:val="007208D6"/>
    <w:rsid w:val="00726786"/>
    <w:rsid w:val="00732152"/>
    <w:rsid w:val="007428DF"/>
    <w:rsid w:val="00742BD1"/>
    <w:rsid w:val="00742E7A"/>
    <w:rsid w:val="0074424F"/>
    <w:rsid w:val="00764FD9"/>
    <w:rsid w:val="007740B2"/>
    <w:rsid w:val="00774C1F"/>
    <w:rsid w:val="0078194F"/>
    <w:rsid w:val="007934A4"/>
    <w:rsid w:val="007A0AC9"/>
    <w:rsid w:val="007A1B70"/>
    <w:rsid w:val="007A57F6"/>
    <w:rsid w:val="007B4FFB"/>
    <w:rsid w:val="007C0BCE"/>
    <w:rsid w:val="007C1D1B"/>
    <w:rsid w:val="007C3566"/>
    <w:rsid w:val="007C794A"/>
    <w:rsid w:val="007D5326"/>
    <w:rsid w:val="007D5A33"/>
    <w:rsid w:val="007E4F3A"/>
    <w:rsid w:val="007E620F"/>
    <w:rsid w:val="007E663C"/>
    <w:rsid w:val="007E7795"/>
    <w:rsid w:val="0080066B"/>
    <w:rsid w:val="00803578"/>
    <w:rsid w:val="00815B8D"/>
    <w:rsid w:val="00815B8E"/>
    <w:rsid w:val="00816D99"/>
    <w:rsid w:val="0082324C"/>
    <w:rsid w:val="00823D71"/>
    <w:rsid w:val="008245AF"/>
    <w:rsid w:val="008256B9"/>
    <w:rsid w:val="0083705D"/>
    <w:rsid w:val="0084242F"/>
    <w:rsid w:val="00845795"/>
    <w:rsid w:val="00847437"/>
    <w:rsid w:val="00882E15"/>
    <w:rsid w:val="00883C73"/>
    <w:rsid w:val="008901A2"/>
    <w:rsid w:val="008A08B0"/>
    <w:rsid w:val="008B0385"/>
    <w:rsid w:val="008B1082"/>
    <w:rsid w:val="008B188E"/>
    <w:rsid w:val="008B397C"/>
    <w:rsid w:val="008B47F4"/>
    <w:rsid w:val="008B7448"/>
    <w:rsid w:val="008B7E1E"/>
    <w:rsid w:val="008C2AE6"/>
    <w:rsid w:val="008C2DE8"/>
    <w:rsid w:val="008C5113"/>
    <w:rsid w:val="008C5B8A"/>
    <w:rsid w:val="008D3D5F"/>
    <w:rsid w:val="008D4E81"/>
    <w:rsid w:val="008D505F"/>
    <w:rsid w:val="008E0F55"/>
    <w:rsid w:val="008F253F"/>
    <w:rsid w:val="008F7F31"/>
    <w:rsid w:val="00900019"/>
    <w:rsid w:val="009023B1"/>
    <w:rsid w:val="009147D6"/>
    <w:rsid w:val="00914D98"/>
    <w:rsid w:val="00925F8C"/>
    <w:rsid w:val="00927324"/>
    <w:rsid w:val="00932ED7"/>
    <w:rsid w:val="00933990"/>
    <w:rsid w:val="00941B89"/>
    <w:rsid w:val="00941DEA"/>
    <w:rsid w:val="009656CC"/>
    <w:rsid w:val="00970E8C"/>
    <w:rsid w:val="00971671"/>
    <w:rsid w:val="00981A37"/>
    <w:rsid w:val="009830B2"/>
    <w:rsid w:val="0099063E"/>
    <w:rsid w:val="00992356"/>
    <w:rsid w:val="00992674"/>
    <w:rsid w:val="00994793"/>
    <w:rsid w:val="00996AE3"/>
    <w:rsid w:val="009A0450"/>
    <w:rsid w:val="009A1E27"/>
    <w:rsid w:val="009A307B"/>
    <w:rsid w:val="009B04E7"/>
    <w:rsid w:val="009B14E8"/>
    <w:rsid w:val="009B4D21"/>
    <w:rsid w:val="009B5A73"/>
    <w:rsid w:val="009C54C9"/>
    <w:rsid w:val="009C589C"/>
    <w:rsid w:val="009D192B"/>
    <w:rsid w:val="009D2582"/>
    <w:rsid w:val="009D33E1"/>
    <w:rsid w:val="009D3B45"/>
    <w:rsid w:val="009D7CF9"/>
    <w:rsid w:val="009E2CCC"/>
    <w:rsid w:val="009E2CDD"/>
    <w:rsid w:val="009E366E"/>
    <w:rsid w:val="009E6FC4"/>
    <w:rsid w:val="009F00DC"/>
    <w:rsid w:val="009F3199"/>
    <w:rsid w:val="009F3355"/>
    <w:rsid w:val="009F3648"/>
    <w:rsid w:val="009F3B7A"/>
    <w:rsid w:val="009F54D0"/>
    <w:rsid w:val="00A04523"/>
    <w:rsid w:val="00A16159"/>
    <w:rsid w:val="00A161E6"/>
    <w:rsid w:val="00A17885"/>
    <w:rsid w:val="00A2337D"/>
    <w:rsid w:val="00A25A31"/>
    <w:rsid w:val="00A31BBE"/>
    <w:rsid w:val="00A31D34"/>
    <w:rsid w:val="00A333EF"/>
    <w:rsid w:val="00A33F85"/>
    <w:rsid w:val="00A40645"/>
    <w:rsid w:val="00A6016C"/>
    <w:rsid w:val="00A769B1"/>
    <w:rsid w:val="00A77DA3"/>
    <w:rsid w:val="00A837D5"/>
    <w:rsid w:val="00A83E04"/>
    <w:rsid w:val="00A91091"/>
    <w:rsid w:val="00A93EE3"/>
    <w:rsid w:val="00A94BA9"/>
    <w:rsid w:val="00AA4970"/>
    <w:rsid w:val="00AA536D"/>
    <w:rsid w:val="00AB22C0"/>
    <w:rsid w:val="00AB28FC"/>
    <w:rsid w:val="00AB49E4"/>
    <w:rsid w:val="00AC1479"/>
    <w:rsid w:val="00AC2AAC"/>
    <w:rsid w:val="00AC40F1"/>
    <w:rsid w:val="00AC4C45"/>
    <w:rsid w:val="00AD1085"/>
    <w:rsid w:val="00AD5B40"/>
    <w:rsid w:val="00AF289F"/>
    <w:rsid w:val="00AF30B9"/>
    <w:rsid w:val="00AF43DF"/>
    <w:rsid w:val="00AF67A4"/>
    <w:rsid w:val="00AF7510"/>
    <w:rsid w:val="00B12D31"/>
    <w:rsid w:val="00B15F6E"/>
    <w:rsid w:val="00B21BEE"/>
    <w:rsid w:val="00B23284"/>
    <w:rsid w:val="00B37D43"/>
    <w:rsid w:val="00B46F21"/>
    <w:rsid w:val="00B511A5"/>
    <w:rsid w:val="00B51CDE"/>
    <w:rsid w:val="00B56541"/>
    <w:rsid w:val="00B605ED"/>
    <w:rsid w:val="00B71F97"/>
    <w:rsid w:val="00B72538"/>
    <w:rsid w:val="00B736A7"/>
    <w:rsid w:val="00B7651F"/>
    <w:rsid w:val="00B919FA"/>
    <w:rsid w:val="00B94A16"/>
    <w:rsid w:val="00BA6044"/>
    <w:rsid w:val="00BB1A93"/>
    <w:rsid w:val="00BC14BF"/>
    <w:rsid w:val="00BC2625"/>
    <w:rsid w:val="00BC3200"/>
    <w:rsid w:val="00BC338A"/>
    <w:rsid w:val="00BD7AB0"/>
    <w:rsid w:val="00BF3C20"/>
    <w:rsid w:val="00C011BC"/>
    <w:rsid w:val="00C03DBA"/>
    <w:rsid w:val="00C112E7"/>
    <w:rsid w:val="00C11C78"/>
    <w:rsid w:val="00C11CD4"/>
    <w:rsid w:val="00C15061"/>
    <w:rsid w:val="00C1713D"/>
    <w:rsid w:val="00C20D9D"/>
    <w:rsid w:val="00C2134F"/>
    <w:rsid w:val="00C24718"/>
    <w:rsid w:val="00C2675D"/>
    <w:rsid w:val="00C30AEE"/>
    <w:rsid w:val="00C33362"/>
    <w:rsid w:val="00C353AE"/>
    <w:rsid w:val="00C4194E"/>
    <w:rsid w:val="00C516B1"/>
    <w:rsid w:val="00C5350C"/>
    <w:rsid w:val="00C56E09"/>
    <w:rsid w:val="00C61B1B"/>
    <w:rsid w:val="00C66AB7"/>
    <w:rsid w:val="00C673D1"/>
    <w:rsid w:val="00C746CB"/>
    <w:rsid w:val="00C77BBF"/>
    <w:rsid w:val="00C77D64"/>
    <w:rsid w:val="00C81564"/>
    <w:rsid w:val="00C9080C"/>
    <w:rsid w:val="00C94429"/>
    <w:rsid w:val="00CA18FD"/>
    <w:rsid w:val="00CA27E5"/>
    <w:rsid w:val="00CA4897"/>
    <w:rsid w:val="00CA6928"/>
    <w:rsid w:val="00CB3D3F"/>
    <w:rsid w:val="00CB5A1A"/>
    <w:rsid w:val="00CC59E6"/>
    <w:rsid w:val="00CD5BDD"/>
    <w:rsid w:val="00CF096B"/>
    <w:rsid w:val="00CF10F7"/>
    <w:rsid w:val="00CF5EE3"/>
    <w:rsid w:val="00CF691F"/>
    <w:rsid w:val="00D00D99"/>
    <w:rsid w:val="00D013A4"/>
    <w:rsid w:val="00D026DC"/>
    <w:rsid w:val="00D15595"/>
    <w:rsid w:val="00D343A8"/>
    <w:rsid w:val="00D37832"/>
    <w:rsid w:val="00D44860"/>
    <w:rsid w:val="00D47689"/>
    <w:rsid w:val="00D50C42"/>
    <w:rsid w:val="00D57CF5"/>
    <w:rsid w:val="00D612BC"/>
    <w:rsid w:val="00D62F98"/>
    <w:rsid w:val="00D66FD6"/>
    <w:rsid w:val="00D8285B"/>
    <w:rsid w:val="00D862EB"/>
    <w:rsid w:val="00D86619"/>
    <w:rsid w:val="00D93E7C"/>
    <w:rsid w:val="00DB2BE6"/>
    <w:rsid w:val="00DB76B3"/>
    <w:rsid w:val="00DD1052"/>
    <w:rsid w:val="00DD3C7B"/>
    <w:rsid w:val="00DE2B21"/>
    <w:rsid w:val="00DE48DE"/>
    <w:rsid w:val="00DF25F2"/>
    <w:rsid w:val="00DF4166"/>
    <w:rsid w:val="00E000F4"/>
    <w:rsid w:val="00E01231"/>
    <w:rsid w:val="00E04279"/>
    <w:rsid w:val="00E11393"/>
    <w:rsid w:val="00E125D9"/>
    <w:rsid w:val="00E16D30"/>
    <w:rsid w:val="00E31E69"/>
    <w:rsid w:val="00E33169"/>
    <w:rsid w:val="00E34A7B"/>
    <w:rsid w:val="00E40973"/>
    <w:rsid w:val="00E545FF"/>
    <w:rsid w:val="00E6080E"/>
    <w:rsid w:val="00E64168"/>
    <w:rsid w:val="00E655B3"/>
    <w:rsid w:val="00E7081D"/>
    <w:rsid w:val="00E70904"/>
    <w:rsid w:val="00E71319"/>
    <w:rsid w:val="00E75171"/>
    <w:rsid w:val="00E804B0"/>
    <w:rsid w:val="00E86772"/>
    <w:rsid w:val="00E90B8B"/>
    <w:rsid w:val="00E93ADD"/>
    <w:rsid w:val="00E952D8"/>
    <w:rsid w:val="00EB00E4"/>
    <w:rsid w:val="00EB28DA"/>
    <w:rsid w:val="00EB3812"/>
    <w:rsid w:val="00EB44EB"/>
    <w:rsid w:val="00EB66B8"/>
    <w:rsid w:val="00EB791E"/>
    <w:rsid w:val="00EC70A9"/>
    <w:rsid w:val="00ED4C3A"/>
    <w:rsid w:val="00EE1C85"/>
    <w:rsid w:val="00EF21D9"/>
    <w:rsid w:val="00EF2A94"/>
    <w:rsid w:val="00EF32FB"/>
    <w:rsid w:val="00EF44B1"/>
    <w:rsid w:val="00EF4865"/>
    <w:rsid w:val="00EF5954"/>
    <w:rsid w:val="00F100D2"/>
    <w:rsid w:val="00F12942"/>
    <w:rsid w:val="00F13C41"/>
    <w:rsid w:val="00F14886"/>
    <w:rsid w:val="00F16421"/>
    <w:rsid w:val="00F201EE"/>
    <w:rsid w:val="00F35AA0"/>
    <w:rsid w:val="00F43C49"/>
    <w:rsid w:val="00F45C12"/>
    <w:rsid w:val="00F544A2"/>
    <w:rsid w:val="00F73D03"/>
    <w:rsid w:val="00F76CB9"/>
    <w:rsid w:val="00F77A73"/>
    <w:rsid w:val="00F80E46"/>
    <w:rsid w:val="00F96236"/>
    <w:rsid w:val="00FA10CE"/>
    <w:rsid w:val="00FA222F"/>
    <w:rsid w:val="00FA2891"/>
    <w:rsid w:val="00FB693D"/>
    <w:rsid w:val="00FB7768"/>
    <w:rsid w:val="00FC7489"/>
    <w:rsid w:val="00FD1BA8"/>
    <w:rsid w:val="00FD218F"/>
    <w:rsid w:val="00FD5663"/>
    <w:rsid w:val="00FD56C6"/>
    <w:rsid w:val="00FE3221"/>
    <w:rsid w:val="00FE48EA"/>
    <w:rsid w:val="00FE571F"/>
    <w:rsid w:val="00FF47F6"/>
    <w:rsid w:val="016E63C2"/>
    <w:rsid w:val="024B0C39"/>
    <w:rsid w:val="03010728"/>
    <w:rsid w:val="053973EC"/>
    <w:rsid w:val="055C3532"/>
    <w:rsid w:val="082E6EF7"/>
    <w:rsid w:val="0A8128A6"/>
    <w:rsid w:val="0B0009AC"/>
    <w:rsid w:val="0BF32A1B"/>
    <w:rsid w:val="0D63007C"/>
    <w:rsid w:val="10BD2C22"/>
    <w:rsid w:val="117816B9"/>
    <w:rsid w:val="12821BAF"/>
    <w:rsid w:val="158B1D92"/>
    <w:rsid w:val="1C4032FE"/>
    <w:rsid w:val="1FAB151F"/>
    <w:rsid w:val="22987C80"/>
    <w:rsid w:val="24192CCC"/>
    <w:rsid w:val="243674C1"/>
    <w:rsid w:val="25E90563"/>
    <w:rsid w:val="2B580837"/>
    <w:rsid w:val="2C1B3211"/>
    <w:rsid w:val="2DB273E2"/>
    <w:rsid w:val="2EFF5E99"/>
    <w:rsid w:val="322C29D4"/>
    <w:rsid w:val="39A66CD4"/>
    <w:rsid w:val="3B0A3EE9"/>
    <w:rsid w:val="3CD52CE1"/>
    <w:rsid w:val="3FD73FDA"/>
    <w:rsid w:val="40664832"/>
    <w:rsid w:val="410F2E6A"/>
    <w:rsid w:val="42246753"/>
    <w:rsid w:val="4430136C"/>
    <w:rsid w:val="49A70843"/>
    <w:rsid w:val="4AB0382B"/>
    <w:rsid w:val="4C251A45"/>
    <w:rsid w:val="4C885B30"/>
    <w:rsid w:val="4CD82614"/>
    <w:rsid w:val="4DC223EA"/>
    <w:rsid w:val="51D33E75"/>
    <w:rsid w:val="52EA4E4F"/>
    <w:rsid w:val="5480660F"/>
    <w:rsid w:val="56232488"/>
    <w:rsid w:val="569868B5"/>
    <w:rsid w:val="59517F2C"/>
    <w:rsid w:val="610B709A"/>
    <w:rsid w:val="611F6817"/>
    <w:rsid w:val="62634C1E"/>
    <w:rsid w:val="638E5CCA"/>
    <w:rsid w:val="65CE416F"/>
    <w:rsid w:val="66CA1754"/>
    <w:rsid w:val="68B0223F"/>
    <w:rsid w:val="6C6031E4"/>
    <w:rsid w:val="6D964EFF"/>
    <w:rsid w:val="6F1E65D4"/>
    <w:rsid w:val="6F266C86"/>
    <w:rsid w:val="6F4162E7"/>
    <w:rsid w:val="6F5042C2"/>
    <w:rsid w:val="71804EA4"/>
    <w:rsid w:val="72AFF31E"/>
    <w:rsid w:val="734819F2"/>
    <w:rsid w:val="74316312"/>
    <w:rsid w:val="779867AF"/>
    <w:rsid w:val="780F13C8"/>
    <w:rsid w:val="79AA5EA0"/>
    <w:rsid w:val="79DF0BD6"/>
    <w:rsid w:val="7C385448"/>
    <w:rsid w:val="7CB3663D"/>
    <w:rsid w:val="7CC731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0"/>
    <w:autoRedefine/>
    <w:qFormat/>
    <w:uiPriority w:val="99"/>
    <w:pPr>
      <w:widowControl w:val="0"/>
    </w:pPr>
    <w:rPr>
      <w:rFonts w:ascii="Times New Roman" w:hAnsi="Times New Roman" w:cs="Times New Roman"/>
      <w:kern w:val="2"/>
      <w:sz w:val="21"/>
    </w:rPr>
  </w:style>
  <w:style w:type="paragraph" w:styleId="4">
    <w:name w:val="footer"/>
    <w:basedOn w:val="1"/>
    <w:link w:val="12"/>
    <w:autoRedefine/>
    <w:unhideWhenUsed/>
    <w:qFormat/>
    <w:uiPriority w:val="99"/>
    <w:pPr>
      <w:tabs>
        <w:tab w:val="center" w:pos="4153"/>
        <w:tab w:val="right" w:pos="8306"/>
      </w:tabs>
      <w:snapToGrid w:val="0"/>
    </w:pPr>
    <w:rPr>
      <w:rFonts w:asciiTheme="minorHAnsi" w:hAnsiTheme="minorHAnsi" w:eastAsiaTheme="minorEastAsia" w:cstheme="minorBidi"/>
      <w:sz w:val="18"/>
      <w:szCs w:val="18"/>
    </w:rPr>
  </w:style>
  <w:style w:type="paragraph" w:styleId="5">
    <w:name w:val="header"/>
    <w:basedOn w:val="1"/>
    <w:link w:val="11"/>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autoRedefine/>
    <w:unhideWhenUsed/>
    <w:qFormat/>
    <w:uiPriority w:val="99"/>
    <w:pPr>
      <w:spacing w:before="100" w:beforeAutospacing="1" w:after="100" w:afterAutospacing="1"/>
    </w:pPr>
  </w:style>
  <w:style w:type="table" w:styleId="8">
    <w:name w:val="Table Grid"/>
    <w:basedOn w:val="7"/>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22"/>
    <w:rPr>
      <w:b/>
      <w:bCs/>
    </w:rPr>
  </w:style>
  <w:style w:type="character" w:customStyle="1" w:styleId="11">
    <w:name w:val="页眉 字符"/>
    <w:basedOn w:val="9"/>
    <w:link w:val="5"/>
    <w:autoRedefine/>
    <w:semiHidden/>
    <w:qFormat/>
    <w:uiPriority w:val="99"/>
    <w:rPr>
      <w:sz w:val="18"/>
      <w:szCs w:val="18"/>
    </w:rPr>
  </w:style>
  <w:style w:type="character" w:customStyle="1" w:styleId="12">
    <w:name w:val="页脚 字符"/>
    <w:basedOn w:val="9"/>
    <w:link w:val="4"/>
    <w:autoRedefine/>
    <w:semiHidden/>
    <w:qFormat/>
    <w:uiPriority w:val="99"/>
    <w:rPr>
      <w:sz w:val="18"/>
      <w:szCs w:val="18"/>
    </w:rPr>
  </w:style>
  <w:style w:type="paragraph" w:customStyle="1" w:styleId="13">
    <w:name w:val="表格标题DG"/>
    <w:basedOn w:val="1"/>
    <w:autoRedefine/>
    <w:qFormat/>
    <w:uiPriority w:val="0"/>
    <w:pPr>
      <w:snapToGrid w:val="0"/>
      <w:jc w:val="center"/>
    </w:pPr>
    <w:rPr>
      <w:rFonts w:ascii="Arial" w:hAnsi="Arial" w:eastAsia="黑体"/>
      <w:bCs/>
      <w:color w:val="000000"/>
      <w:sz w:val="21"/>
      <w:szCs w:val="20"/>
    </w:rPr>
  </w:style>
  <w:style w:type="paragraph" w:customStyle="1" w:styleId="14">
    <w:name w:val="表格正文DG"/>
    <w:basedOn w:val="1"/>
    <w:autoRedefine/>
    <w:qFormat/>
    <w:uiPriority w:val="0"/>
    <w:pPr>
      <w:jc w:val="center"/>
    </w:pPr>
    <w:rPr>
      <w:rFonts w:ascii="Times New Roman" w:hAnsi="Times New Roman"/>
      <w:color w:val="000000"/>
      <w:sz w:val="21"/>
      <w:szCs w:val="21"/>
    </w:rPr>
  </w:style>
  <w:style w:type="paragraph" w:styleId="15">
    <w:name w:val="List Paragraph"/>
    <w:basedOn w:val="1"/>
    <w:autoRedefine/>
    <w:unhideWhenUsed/>
    <w:qFormat/>
    <w:uiPriority w:val="99"/>
    <w:pPr>
      <w:ind w:firstLine="420" w:firstLineChars="200"/>
    </w:pPr>
  </w:style>
  <w:style w:type="paragraph" w:customStyle="1" w:styleId="16">
    <w:name w:val="一级标题DG"/>
    <w:basedOn w:val="1"/>
    <w:autoRedefine/>
    <w:qFormat/>
    <w:uiPriority w:val="0"/>
    <w:pPr>
      <w:spacing w:line="480" w:lineRule="auto"/>
      <w:outlineLvl w:val="0"/>
    </w:pPr>
    <w:rPr>
      <w:rFonts w:ascii="Arial" w:hAnsi="Arial" w:eastAsia="黑体"/>
      <w:sz w:val="28"/>
    </w:rPr>
  </w:style>
  <w:style w:type="paragraph" w:customStyle="1" w:styleId="17">
    <w:name w:val="二级标题DG"/>
    <w:basedOn w:val="6"/>
    <w:autoRedefine/>
    <w:qFormat/>
    <w:uiPriority w:val="0"/>
    <w:pPr>
      <w:spacing w:before="25" w:beforeLines="25" w:beforeAutospacing="0" w:after="50" w:afterLines="50" w:afterAutospacing="0" w:line="440" w:lineRule="exact"/>
      <w:outlineLvl w:val="1"/>
    </w:pPr>
    <w:rPr>
      <w:rFonts w:ascii="Times New Roman" w:hAnsi="Times New Roman"/>
      <w:b/>
    </w:rPr>
  </w:style>
  <w:style w:type="paragraph" w:customStyle="1" w:styleId="18">
    <w:name w:val="正文DG"/>
    <w:basedOn w:val="1"/>
    <w:autoRedefine/>
    <w:qFormat/>
    <w:uiPriority w:val="0"/>
    <w:pPr>
      <w:snapToGrid w:val="0"/>
      <w:spacing w:line="440" w:lineRule="exact"/>
      <w:ind w:firstLine="480" w:firstLineChars="200"/>
    </w:pPr>
    <w:rPr>
      <w:rFonts w:ascii="Times New Roman" w:hAnsi="Times New Roman" w:cs="Times New Roman"/>
      <w:color w:val="000000"/>
    </w:rPr>
  </w:style>
  <w:style w:type="character" w:customStyle="1" w:styleId="19">
    <w:name w:val="标题 1 字符"/>
    <w:basedOn w:val="9"/>
    <w:link w:val="2"/>
    <w:autoRedefine/>
    <w:qFormat/>
    <w:uiPriority w:val="9"/>
    <w:rPr>
      <w:rFonts w:ascii="Calibri" w:hAnsi="Calibri" w:eastAsia="宋体" w:cs="Times New Roman"/>
      <w:b/>
      <w:bCs/>
      <w:kern w:val="44"/>
      <w:sz w:val="44"/>
      <w:szCs w:val="44"/>
    </w:rPr>
  </w:style>
  <w:style w:type="character" w:customStyle="1" w:styleId="20">
    <w:name w:val="批注文字 字符"/>
    <w:basedOn w:val="9"/>
    <w:link w:val="3"/>
    <w:autoRedefine/>
    <w:qFormat/>
    <w:uiPriority w:val="99"/>
    <w:rPr>
      <w:rFonts w:ascii="Times New Roman" w:hAnsi="Times New Roman" w:eastAsia="宋体" w:cs="Times New Roman"/>
      <w:kern w:val="2"/>
      <w:sz w:val="21"/>
      <w:szCs w:val="24"/>
    </w:rPr>
  </w:style>
  <w:style w:type="character" w:customStyle="1" w:styleId="21">
    <w:name w:val="editor-text-node"/>
    <w:basedOn w:val="9"/>
    <w:autoRedefine/>
    <w:qFormat/>
    <w:uiPriority w:val="0"/>
  </w:style>
  <w:style w:type="character" w:styleId="22">
    <w:name w:val="Placeholder Text"/>
    <w:basedOn w:val="9"/>
    <w:autoRedefine/>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496</Words>
  <Characters>534</Characters>
  <Lines>6</Lines>
  <Paragraphs>1</Paragraphs>
  <TotalTime>0</TotalTime>
  <ScaleCrop>false</ScaleCrop>
  <LinksUpToDate>false</LinksUpToDate>
  <CharactersWithSpaces>545</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2023-11-21T10:39:00Z</dcterms:created>
  <dc:creator>juvg</dc:creator>
  <cp:lastModifiedBy>leee</cp:lastModifiedBy>
  <cp:lastPrinted>2023-11-21T08:52:00Z</cp:lastPrinted>
  <dcterms:modified xsi:type="dcterms:W3CDTF">2024-10-13T18:03:55Z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9CA95A1C11ED45A5ACBF1B8D6AF7567E_12</vt:lpwstr>
  </property>
</Properties>
</file>