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 b="889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pPr>
        <w:widowControl/>
        <w:snapToGrid w:val="0"/>
        <w:spacing w:line="480" w:lineRule="exact"/>
        <w:jc w:val="center"/>
        <w:rPr>
          <w:b/>
          <w:sz w:val="28"/>
          <w:szCs w:val="30"/>
        </w:rPr>
      </w:pPr>
      <w:r>
        <w:rPr>
          <w:rFonts w:hint="eastAsia"/>
          <w:b/>
          <w:sz w:val="28"/>
          <w:szCs w:val="30"/>
        </w:rPr>
        <w:t>【儿童哲学】</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Arial" w:hAnsi="Arial" w:cs="Arial"/>
          <w:color w:val="333333"/>
          <w:szCs w:val="21"/>
          <w:shd w:val="clear" w:color="auto" w:fill="FFFFFF"/>
        </w:rPr>
        <w:t> Philosophy for children</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1130018</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学前教育系</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w:t>
      </w:r>
      <w:r>
        <w:rPr>
          <w:rFonts w:hint="eastAsia"/>
          <w:color w:val="000000"/>
          <w:sz w:val="20"/>
          <w:szCs w:val="20"/>
          <w:lang w:val="en-US" w:eastAsia="zh-CN"/>
        </w:rPr>
        <w:t>必</w:t>
      </w:r>
      <w:r>
        <w:rPr>
          <w:rFonts w:hint="eastAsia"/>
          <w:color w:val="000000"/>
          <w:sz w:val="20"/>
          <w:szCs w:val="20"/>
        </w:rPr>
        <w:t>修课</w:t>
      </w:r>
      <w:r>
        <w:rPr>
          <w:color w:val="000000"/>
          <w:sz w:val="20"/>
          <w:szCs w:val="20"/>
        </w:rPr>
        <w:t>】</w:t>
      </w:r>
    </w:p>
    <w:p>
      <w:pPr>
        <w:snapToGrid w:val="0"/>
        <w:spacing w:line="288" w:lineRule="auto"/>
        <w:ind w:firstLine="394" w:firstLineChars="196"/>
        <w:rPr>
          <w:color w:val="000000"/>
          <w:szCs w:val="21"/>
        </w:rPr>
      </w:pPr>
      <w:r>
        <w:rPr>
          <w:b/>
          <w:bCs/>
          <w:color w:val="000000"/>
          <w:sz w:val="20"/>
          <w:szCs w:val="20"/>
        </w:rPr>
        <w:t>开课院系：</w:t>
      </w:r>
      <w:r>
        <w:rPr>
          <w:rFonts w:hint="eastAsia"/>
          <w:color w:val="000000"/>
          <w:szCs w:val="21"/>
        </w:rPr>
        <w:t>学前教育系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left="718" w:leftChars="342" w:firstLine="105" w:firstLineChars="50"/>
        <w:rPr>
          <w:color w:val="000000"/>
          <w:szCs w:val="21"/>
        </w:rPr>
      </w:pPr>
      <w:r>
        <w:rPr>
          <w:rFonts w:hint="eastAsia"/>
          <w:color w:val="000000"/>
          <w:szCs w:val="21"/>
        </w:rPr>
        <w:t>《儿童哲学导论》 高振宇 广西师范大学出版社</w:t>
      </w:r>
    </w:p>
    <w:p>
      <w:pPr>
        <w:snapToGrid w:val="0"/>
        <w:spacing w:line="288" w:lineRule="auto"/>
        <w:ind w:firstLine="394" w:firstLineChars="196"/>
        <w:rPr>
          <w:color w:val="000000"/>
          <w:szCs w:val="21"/>
        </w:rPr>
      </w:pPr>
      <w:r>
        <w:rPr>
          <w:b/>
          <w:bCs/>
          <w:color w:val="000000"/>
          <w:sz w:val="20"/>
          <w:szCs w:val="20"/>
        </w:rPr>
        <w:t>参考</w:t>
      </w:r>
      <w:r>
        <w:rPr>
          <w:rFonts w:hint="eastAsia"/>
          <w:b/>
          <w:bCs/>
          <w:color w:val="000000"/>
          <w:sz w:val="20"/>
          <w:szCs w:val="20"/>
        </w:rPr>
        <w:t>书目：</w:t>
      </w:r>
    </w:p>
    <w:p>
      <w:pPr>
        <w:snapToGrid w:val="0"/>
        <w:spacing w:line="288" w:lineRule="auto"/>
        <w:ind w:firstLine="831" w:firstLineChars="396"/>
        <w:rPr>
          <w:color w:val="000000"/>
          <w:szCs w:val="21"/>
        </w:rPr>
      </w:pPr>
      <w:r>
        <w:rPr>
          <w:rFonts w:hint="eastAsia"/>
          <w:color w:val="000000"/>
          <w:szCs w:val="21"/>
        </w:rPr>
        <w:t>《儿童哲学的理论与实践》  潘小慧 广西师范大学出版社；</w:t>
      </w:r>
    </w:p>
    <w:p>
      <w:pPr>
        <w:snapToGrid w:val="0"/>
        <w:spacing w:line="288" w:lineRule="auto"/>
        <w:ind w:left="718" w:leftChars="342" w:firstLine="105" w:firstLineChars="50"/>
        <w:rPr>
          <w:color w:val="000000"/>
          <w:szCs w:val="21"/>
        </w:rPr>
      </w:pPr>
      <w:r>
        <w:rPr>
          <w:rFonts w:hint="eastAsia"/>
          <w:color w:val="000000"/>
          <w:szCs w:val="21"/>
        </w:rPr>
        <w:t>《哲学与幼童》 马修斯著 陈国容（译） 文化生活从译；</w:t>
      </w:r>
    </w:p>
    <w:p>
      <w:pPr>
        <w:snapToGrid w:val="0"/>
        <w:spacing w:line="288" w:lineRule="auto"/>
        <w:ind w:left="718" w:leftChars="342" w:firstLine="105" w:firstLineChars="50"/>
        <w:rPr>
          <w:rFonts w:ascii="Tahoma" w:hAnsi="Tahoma" w:cs="Tahoma"/>
          <w:sz w:val="18"/>
          <w:szCs w:val="18"/>
          <w:shd w:val="clear" w:color="auto" w:fill="FFFFFF"/>
        </w:rPr>
      </w:pPr>
      <w:r>
        <w:rPr>
          <w:rFonts w:hint="eastAsia"/>
          <w:color w:val="000000"/>
          <w:szCs w:val="21"/>
        </w:rPr>
        <w:t>《宝宝也是哲学家》</w:t>
      </w:r>
      <w:r>
        <w:rPr>
          <w:color w:val="000000"/>
          <w:szCs w:val="21"/>
        </w:rPr>
        <w:t>[</w:t>
      </w:r>
      <w:r>
        <w:rPr>
          <w:rFonts w:ascii="Tahoma" w:hAnsi="Tahoma" w:cs="Tahoma"/>
          <w:color w:val="666666"/>
          <w:sz w:val="18"/>
          <w:szCs w:val="18"/>
          <w:shd w:val="clear" w:color="auto" w:fill="FFFFFF"/>
        </w:rPr>
        <w:t>美]</w:t>
      </w:r>
      <w:r>
        <w:fldChar w:fldCharType="begin"/>
      </w:r>
      <w:r>
        <w:instrText xml:space="preserve"> HYPERLINK "https://book.jd.com/writer/%E8%89%BE%E8%8E%89%E6%A3%AE%C2%B7%E9%AB%98%E6%99%AE%E5%B0%BC%E5%85%8B_1.html" \t "_blank" </w:instrText>
      </w:r>
      <w:r>
        <w:fldChar w:fldCharType="separate"/>
      </w:r>
      <w:r>
        <w:rPr>
          <w:rStyle w:val="10"/>
          <w:rFonts w:cs="Tahoma" w:asciiTheme="minorEastAsia" w:hAnsiTheme="minorEastAsia" w:eastAsiaTheme="minorEastAsia"/>
          <w:color w:val="auto"/>
          <w:sz w:val="18"/>
          <w:szCs w:val="18"/>
          <w:u w:val="none"/>
          <w:shd w:val="clear" w:color="auto" w:fill="FFFFFF"/>
        </w:rPr>
        <w:t>艾莉森·高普尼克</w:t>
      </w:r>
      <w:r>
        <w:rPr>
          <w:rStyle w:val="10"/>
          <w:rFonts w:cs="Tahoma" w:asciiTheme="minorEastAsia" w:hAnsiTheme="minorEastAsia" w:eastAsiaTheme="minorEastAsia"/>
          <w:color w:val="auto"/>
          <w:sz w:val="18"/>
          <w:szCs w:val="18"/>
          <w:u w:val="none"/>
          <w:shd w:val="clear" w:color="auto" w:fill="FFFFFF"/>
        </w:rPr>
        <w:fldChar w:fldCharType="end"/>
      </w:r>
      <w:r>
        <w:rPr>
          <w:rFonts w:cs="Tahoma" w:asciiTheme="minorEastAsia" w:hAnsiTheme="minorEastAsia" w:eastAsiaTheme="minorEastAsia"/>
          <w:sz w:val="18"/>
          <w:szCs w:val="18"/>
          <w:shd w:val="clear" w:color="auto" w:fill="FFFFFF"/>
        </w:rPr>
        <w:t>（</w:t>
      </w:r>
      <w:r>
        <w:fldChar w:fldCharType="begin"/>
      </w:r>
      <w:r>
        <w:instrText xml:space="preserve"> HYPERLINK "https://book.jd.com/writer/Alison%20Gopnik_1.html" \t "_blank" </w:instrText>
      </w:r>
      <w:r>
        <w:fldChar w:fldCharType="separate"/>
      </w:r>
      <w:r>
        <w:rPr>
          <w:rStyle w:val="10"/>
          <w:rFonts w:cs="Tahoma" w:asciiTheme="minorEastAsia" w:hAnsiTheme="minorEastAsia" w:eastAsiaTheme="minorEastAsia"/>
          <w:color w:val="auto"/>
          <w:sz w:val="18"/>
          <w:szCs w:val="18"/>
          <w:u w:val="none"/>
          <w:shd w:val="clear" w:color="auto" w:fill="FFFFFF"/>
        </w:rPr>
        <w:t>Alison Gopnik</w:t>
      </w:r>
      <w:r>
        <w:rPr>
          <w:rStyle w:val="10"/>
          <w:rFonts w:cs="Tahoma" w:asciiTheme="minorEastAsia" w:hAnsiTheme="minorEastAsia" w:eastAsiaTheme="minorEastAsia"/>
          <w:color w:val="auto"/>
          <w:sz w:val="18"/>
          <w:szCs w:val="18"/>
          <w:u w:val="none"/>
          <w:shd w:val="clear" w:color="auto" w:fill="FFFFFF"/>
        </w:rPr>
        <w:fldChar w:fldCharType="end"/>
      </w:r>
      <w:r>
        <w:rPr>
          <w:rFonts w:cs="Tahoma" w:asciiTheme="minorEastAsia" w:hAnsiTheme="minorEastAsia" w:eastAsiaTheme="minorEastAsia"/>
          <w:sz w:val="18"/>
          <w:szCs w:val="18"/>
          <w:shd w:val="clear" w:color="auto" w:fill="FFFFFF"/>
        </w:rPr>
        <w:t>） 著，</w:t>
      </w:r>
      <w:r>
        <w:fldChar w:fldCharType="begin"/>
      </w:r>
      <w:r>
        <w:instrText xml:space="preserve"> HYPERLINK "https://book.jd.com/writer/%E7%94%B3%E5%A9%B5_1.html" \t "_blank" </w:instrText>
      </w:r>
      <w:r>
        <w:fldChar w:fldCharType="separate"/>
      </w:r>
      <w:r>
        <w:rPr>
          <w:rStyle w:val="10"/>
          <w:rFonts w:cs="Tahoma" w:asciiTheme="minorEastAsia" w:hAnsiTheme="minorEastAsia" w:eastAsiaTheme="minorEastAsia"/>
          <w:color w:val="auto"/>
          <w:sz w:val="18"/>
          <w:szCs w:val="18"/>
          <w:u w:val="none"/>
          <w:shd w:val="clear" w:color="auto" w:fill="FFFFFF"/>
        </w:rPr>
        <w:t>申婵</w:t>
      </w:r>
      <w:r>
        <w:rPr>
          <w:rStyle w:val="10"/>
          <w:rFonts w:cs="Tahoma" w:asciiTheme="minorEastAsia" w:hAnsiTheme="minorEastAsia" w:eastAsiaTheme="minorEastAsia"/>
          <w:color w:val="auto"/>
          <w:sz w:val="18"/>
          <w:szCs w:val="18"/>
          <w:u w:val="none"/>
          <w:shd w:val="clear" w:color="auto" w:fill="FFFFFF"/>
        </w:rPr>
        <w:fldChar w:fldCharType="end"/>
      </w:r>
      <w:r>
        <w:rPr>
          <w:rFonts w:hint="eastAsia" w:cs="Tahoma" w:asciiTheme="minorEastAsia" w:hAnsiTheme="minorEastAsia" w:eastAsiaTheme="minorEastAsia"/>
          <w:sz w:val="18"/>
          <w:szCs w:val="18"/>
          <w:shd w:val="clear" w:color="auto" w:fill="FFFFFF"/>
        </w:rPr>
        <w:t>（</w:t>
      </w:r>
      <w:r>
        <w:rPr>
          <w:rFonts w:cs="Tahoma" w:asciiTheme="minorEastAsia" w:hAnsiTheme="minorEastAsia" w:eastAsiaTheme="minorEastAsia"/>
          <w:sz w:val="18"/>
          <w:szCs w:val="18"/>
          <w:shd w:val="clear" w:color="auto" w:fill="FFFFFF"/>
        </w:rPr>
        <w:t>编</w:t>
      </w:r>
      <w:r>
        <w:rPr>
          <w:rFonts w:hint="eastAsia" w:cs="Tahoma" w:asciiTheme="minorEastAsia" w:hAnsiTheme="minorEastAsia" w:eastAsiaTheme="minorEastAsia"/>
          <w:sz w:val="18"/>
          <w:szCs w:val="18"/>
          <w:shd w:val="clear" w:color="auto" w:fill="FFFFFF"/>
        </w:rPr>
        <w:t>）</w:t>
      </w:r>
      <w:r>
        <w:rPr>
          <w:rFonts w:cs="Tahoma" w:asciiTheme="minorEastAsia" w:hAnsiTheme="minorEastAsia" w:eastAsiaTheme="minorEastAsia"/>
          <w:sz w:val="18"/>
          <w:szCs w:val="18"/>
          <w:shd w:val="clear" w:color="auto" w:fill="FFFFFF"/>
        </w:rPr>
        <w:t>，</w:t>
      </w:r>
      <w:r>
        <w:fldChar w:fldCharType="begin"/>
      </w:r>
      <w:r>
        <w:instrText xml:space="preserve"> HYPERLINK "https://book.jd.com/writer/%E6%9D%A8%E5%BD%A6%E6%8D%B7_1.html" \t "_blank" </w:instrText>
      </w:r>
      <w:r>
        <w:fldChar w:fldCharType="separate"/>
      </w:r>
      <w:r>
        <w:rPr>
          <w:rStyle w:val="10"/>
          <w:rFonts w:cs="Tahoma" w:asciiTheme="minorEastAsia" w:hAnsiTheme="minorEastAsia" w:eastAsiaTheme="minorEastAsia"/>
          <w:color w:val="auto"/>
          <w:sz w:val="18"/>
          <w:szCs w:val="18"/>
          <w:u w:val="none"/>
          <w:shd w:val="clear" w:color="auto" w:fill="FFFFFF"/>
        </w:rPr>
        <w:t>杨彦捷</w:t>
      </w:r>
      <w:r>
        <w:rPr>
          <w:rStyle w:val="10"/>
          <w:rFonts w:cs="Tahoma" w:asciiTheme="minorEastAsia" w:hAnsiTheme="minorEastAsia" w:eastAsiaTheme="minorEastAsia"/>
          <w:color w:val="auto"/>
          <w:sz w:val="18"/>
          <w:szCs w:val="18"/>
          <w:u w:val="none"/>
          <w:shd w:val="clear" w:color="auto" w:fill="FFFFFF"/>
        </w:rPr>
        <w:fldChar w:fldCharType="end"/>
      </w:r>
      <w:r>
        <w:rPr>
          <w:rFonts w:cs="Tahoma" w:asciiTheme="minorEastAsia" w:hAnsiTheme="minorEastAsia" w:eastAsiaTheme="minorEastAsia"/>
          <w:sz w:val="18"/>
          <w:szCs w:val="18"/>
          <w:shd w:val="clear" w:color="auto" w:fill="FFFFFF"/>
        </w:rPr>
        <w:t xml:space="preserve"> </w:t>
      </w:r>
      <w:r>
        <w:rPr>
          <w:rFonts w:hint="eastAsia" w:cs="Tahoma" w:asciiTheme="minorEastAsia" w:hAnsiTheme="minorEastAsia" w:eastAsiaTheme="minorEastAsia"/>
          <w:sz w:val="18"/>
          <w:szCs w:val="18"/>
          <w:shd w:val="clear" w:color="auto" w:fill="FFFFFF"/>
        </w:rPr>
        <w:t>（</w:t>
      </w:r>
      <w:r>
        <w:rPr>
          <w:rFonts w:ascii="Tahoma" w:hAnsi="Tahoma" w:cs="Tahoma"/>
          <w:sz w:val="18"/>
          <w:szCs w:val="18"/>
          <w:shd w:val="clear" w:color="auto" w:fill="FFFFFF"/>
        </w:rPr>
        <w:t>译</w:t>
      </w:r>
      <w:r>
        <w:rPr>
          <w:rFonts w:hint="eastAsia" w:ascii="Tahoma" w:hAnsi="Tahoma" w:cs="Tahoma"/>
          <w:sz w:val="18"/>
          <w:szCs w:val="18"/>
          <w:shd w:val="clear" w:color="auto" w:fill="FFFFFF"/>
        </w:rPr>
        <w:t>） 浙江人民出版社；</w:t>
      </w:r>
    </w:p>
    <w:p>
      <w:pPr>
        <w:snapToGrid w:val="0"/>
        <w:spacing w:line="288" w:lineRule="auto"/>
        <w:ind w:left="718" w:leftChars="342" w:firstLine="105" w:firstLineChars="50"/>
        <w:rPr>
          <w:rFonts w:hint="eastAsia"/>
          <w:szCs w:val="21"/>
        </w:rPr>
      </w:pPr>
      <w:r>
        <w:rPr>
          <w:rFonts w:hint="eastAsia" w:ascii="Tahoma" w:hAnsi="Tahoma" w:cs="Tahoma"/>
          <w:szCs w:val="21"/>
          <w:shd w:val="clear" w:color="auto" w:fill="FFFFFF"/>
        </w:rPr>
        <w:t>《孩子是个哲学家》</w:t>
      </w:r>
      <w:r>
        <w:fldChar w:fldCharType="begin"/>
      </w:r>
      <w:r>
        <w:instrText xml:space="preserve"> HYPERLINK "https://book.douban.com/search/%E7%9A%AE%E8%80%B6%E7%BD%97%E2%80%A2%E8%B4%B9%E9%B2%81%E5%A5%87" </w:instrText>
      </w:r>
      <w:r>
        <w:fldChar w:fldCharType="separate"/>
      </w:r>
      <w:r>
        <w:rPr>
          <w:rStyle w:val="10"/>
          <w:rFonts w:ascii="Helvetica" w:hAnsi="Helvetica"/>
          <w:color w:val="auto"/>
          <w:sz w:val="20"/>
          <w:szCs w:val="20"/>
          <w:u w:val="none"/>
          <w:shd w:val="clear" w:color="auto" w:fill="FFFFFF"/>
        </w:rPr>
        <w:t>[意]皮耶罗•费鲁奇</w:t>
      </w:r>
      <w:r>
        <w:rPr>
          <w:rStyle w:val="10"/>
          <w:rFonts w:ascii="Helvetica" w:hAnsi="Helvetica"/>
          <w:color w:val="auto"/>
          <w:sz w:val="20"/>
          <w:szCs w:val="20"/>
          <w:u w:val="none"/>
          <w:shd w:val="clear" w:color="auto" w:fill="FFFFFF"/>
        </w:rPr>
        <w:fldChar w:fldCharType="end"/>
      </w:r>
      <w:r>
        <w:t xml:space="preserve"> </w:t>
      </w:r>
      <w:r>
        <w:rPr>
          <w:rFonts w:hint="eastAsia"/>
        </w:rPr>
        <w:t xml:space="preserve">，张晶（译） </w:t>
      </w:r>
      <w:r>
        <w:rPr>
          <w:rFonts w:ascii="Helvetica" w:hAnsi="Helvetica"/>
          <w:color w:val="111111"/>
          <w:sz w:val="20"/>
          <w:szCs w:val="20"/>
          <w:shd w:val="clear" w:color="auto" w:fill="FFFFFF"/>
        </w:rPr>
        <w:t>上海社会科学院出版社</w:t>
      </w:r>
      <w:r>
        <w:rPr>
          <w:rFonts w:hint="eastAsia" w:ascii="Helvetica" w:hAnsi="Helvetica"/>
          <w:color w:val="111111"/>
          <w:sz w:val="20"/>
          <w:szCs w:val="20"/>
          <w:shd w:val="clear" w:color="auto" w:fill="FFFFFF"/>
        </w:rPr>
        <w:t>；</w:t>
      </w:r>
    </w:p>
    <w:p>
      <w:pPr>
        <w:snapToGrid w:val="0"/>
        <w:spacing w:line="288" w:lineRule="auto"/>
        <w:ind w:firstLine="402" w:firstLineChars="200"/>
        <w:rPr>
          <w:color w:val="000000"/>
          <w:sz w:val="20"/>
          <w:szCs w:val="20"/>
        </w:rPr>
      </w:pPr>
      <w:r>
        <w:rPr>
          <w:rFonts w:hint="eastAsia"/>
          <w:b/>
          <w:bCs/>
          <w:color w:val="000000"/>
          <w:sz w:val="20"/>
          <w:szCs w:val="20"/>
        </w:rPr>
        <w:t>课程网站网址：无</w:t>
      </w:r>
    </w:p>
    <w:p>
      <w:pPr>
        <w:adjustRightInd w:val="0"/>
        <w:snapToGrid w:val="0"/>
        <w:spacing w:line="288" w:lineRule="auto"/>
        <w:ind w:firstLine="394" w:firstLineChars="196"/>
        <w:rPr>
          <w:rFonts w:hint="eastAsia"/>
          <w:color w:val="000000"/>
          <w:sz w:val="20"/>
          <w:szCs w:val="20"/>
        </w:rPr>
      </w:pPr>
      <w:r>
        <w:rPr>
          <w:b/>
          <w:bCs/>
          <w:color w:val="000000"/>
          <w:sz w:val="20"/>
          <w:szCs w:val="20"/>
        </w:rPr>
        <w:t>先修课程：</w:t>
      </w:r>
      <w:r>
        <w:rPr>
          <w:rFonts w:hint="eastAsia"/>
          <w:color w:val="000000"/>
          <w:sz w:val="20"/>
          <w:szCs w:val="20"/>
        </w:rPr>
        <w:t>《教育哲学》</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20" w:firstLineChars="200"/>
        <w:rPr>
          <w:color w:val="000000"/>
          <w:szCs w:val="21"/>
        </w:rPr>
      </w:pPr>
      <w:r>
        <w:rPr>
          <w:rFonts w:hint="eastAsia"/>
          <w:color w:val="000000"/>
          <w:szCs w:val="21"/>
        </w:rPr>
        <w:t>本课程是针对学前教育专业</w:t>
      </w:r>
      <w:r>
        <w:rPr>
          <w:rFonts w:hint="eastAsia"/>
          <w:color w:val="000000"/>
          <w:szCs w:val="21"/>
          <w:lang w:val="en-US" w:eastAsia="zh-CN"/>
        </w:rPr>
        <w:t>专升本</w:t>
      </w:r>
      <w:r>
        <w:rPr>
          <w:rFonts w:hint="eastAsia"/>
          <w:color w:val="000000"/>
          <w:szCs w:val="21"/>
        </w:rPr>
        <w:t>学生所开设的系级</w:t>
      </w:r>
      <w:r>
        <w:rPr>
          <w:rFonts w:hint="eastAsia"/>
          <w:color w:val="000000"/>
          <w:szCs w:val="21"/>
          <w:lang w:val="en-US" w:eastAsia="zh-CN"/>
        </w:rPr>
        <w:t>必</w:t>
      </w:r>
      <w:r>
        <w:rPr>
          <w:rFonts w:hint="eastAsia"/>
          <w:color w:val="000000"/>
          <w:szCs w:val="21"/>
        </w:rPr>
        <w:t>修课程，主要探究儿童哲学的内涵、理论基础与意义；全国不同国家和地区开展儿童哲学研究与实践的基本情况；回顾中国的儿童哲学历史；了解李普曼意义上的儿童哲学课程实践；就儿童哲学与教师教育、教师专业发展的讨论。本课程会将儿童哲学实践案例以及教学案例融入在教学中，帮助学生更为深入的理解儿童哲学课程。</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20" w:firstLineChars="200"/>
        <w:rPr>
          <w:color w:val="000000"/>
          <w:szCs w:val="21"/>
        </w:rPr>
      </w:pPr>
      <w:r>
        <w:rPr>
          <w:rFonts w:hint="eastAsia"/>
          <w:color w:val="000000"/>
          <w:szCs w:val="21"/>
        </w:rPr>
        <w:t>该课程适合学前教育系</w:t>
      </w:r>
      <w:r>
        <w:rPr>
          <w:rFonts w:hint="eastAsia"/>
          <w:color w:val="000000"/>
          <w:szCs w:val="21"/>
          <w:lang w:val="en-US" w:eastAsia="zh-CN"/>
        </w:rPr>
        <w:t>专升本学习深入的理论学习</w:t>
      </w:r>
      <w:r>
        <w:rPr>
          <w:rFonts w:hint="eastAsia"/>
          <w:color w:val="000000"/>
          <w:szCs w:val="21"/>
        </w:rPr>
        <w:t>。</w:t>
      </w:r>
    </w:p>
    <w:p>
      <w:pPr>
        <w:widowControl/>
        <w:spacing w:before="156" w:beforeLines="50" w:after="156"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W w:w="9096" w:type="dxa"/>
        <w:tblInd w:w="93" w:type="dxa"/>
        <w:tblLayout w:type="fixed"/>
        <w:tblCellMar>
          <w:top w:w="0" w:type="dxa"/>
          <w:left w:w="108" w:type="dxa"/>
          <w:bottom w:w="0" w:type="dxa"/>
          <w:right w:w="108" w:type="dxa"/>
        </w:tblCellMar>
      </w:tblPr>
      <w:tblGrid>
        <w:gridCol w:w="8237"/>
        <w:gridCol w:w="859"/>
      </w:tblGrid>
      <w:tr>
        <w:tblPrEx>
          <w:tblCellMar>
            <w:top w:w="0" w:type="dxa"/>
            <w:left w:w="108" w:type="dxa"/>
            <w:bottom w:w="0" w:type="dxa"/>
            <w:right w:w="108" w:type="dxa"/>
          </w:tblCellMar>
        </w:tblPrEx>
        <w:trPr>
          <w:trHeight w:val="158" w:hRule="atLeast"/>
        </w:trPr>
        <w:tc>
          <w:tcPr>
            <w:tcW w:w="823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专业毕业要求</w:t>
            </w:r>
          </w:p>
        </w:tc>
        <w:tc>
          <w:tcPr>
            <w:tcW w:w="85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20"/>
                <w:szCs w:val="20"/>
              </w:rPr>
            </w:pPr>
            <w:r>
              <w:rPr>
                <w:rFonts w:hint="eastAsia" w:ascii="宋体" w:hAnsi="宋体"/>
                <w:sz w:val="20"/>
                <w:szCs w:val="20"/>
              </w:rPr>
              <w:t>关联</w:t>
            </w:r>
          </w:p>
        </w:tc>
      </w:tr>
      <w:tr>
        <w:tblPrEx>
          <w:tblCellMar>
            <w:top w:w="0" w:type="dxa"/>
            <w:left w:w="108" w:type="dxa"/>
            <w:bottom w:w="0" w:type="dxa"/>
            <w:right w:w="108" w:type="dxa"/>
          </w:tblCellMar>
        </w:tblPrEx>
        <w:trPr>
          <w:trHeight w:val="90" w:hRule="atLeast"/>
        </w:trPr>
        <w:tc>
          <w:tcPr>
            <w:tcW w:w="823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XQ111</w:t>
            </w:r>
            <w:r>
              <w:rPr>
                <w:rFonts w:hint="eastAsia" w:ascii="楷体_GB2312" w:hAnsi="楷体" w:eastAsia="楷体_GB2312"/>
                <w:bCs/>
                <w:sz w:val="24"/>
              </w:rPr>
              <w:t xml:space="preserve">认同社会主义核心价值观。 </w:t>
            </w: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XQ112</w:t>
            </w:r>
            <w:r>
              <w:rPr>
                <w:rFonts w:hint="eastAsia" w:ascii="楷体_GB2312" w:hAnsi="楷体" w:eastAsia="楷体_GB2312"/>
                <w:bCs/>
                <w:sz w:val="24"/>
              </w:rPr>
              <w:t>理解与践行学前教育核心价值。</w:t>
            </w:r>
          </w:p>
        </w:tc>
        <w:tc>
          <w:tcPr>
            <w:tcW w:w="859" w:type="dxa"/>
            <w:tcBorders>
              <w:top w:val="nil"/>
              <w:left w:val="single" w:color="auto" w:sz="4" w:space="0"/>
              <w:bottom w:val="single" w:color="auto" w:sz="4" w:space="0"/>
              <w:right w:val="single" w:color="auto" w:sz="4" w:space="0"/>
            </w:tcBorders>
            <w:vAlign w:val="center"/>
          </w:tcPr>
          <w:p>
            <w:pPr>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Q113</w:t>
            </w:r>
            <w:r>
              <w:rPr>
                <w:rFonts w:hint="eastAsia" w:ascii="楷体_GB2312" w:hAnsi="楷体" w:eastAsia="楷体_GB2312"/>
                <w:bCs/>
                <w:sz w:val="24"/>
              </w:rPr>
              <w:t>明确与践行幼儿园教师保教行为规范。</w:t>
            </w:r>
          </w:p>
        </w:tc>
        <w:tc>
          <w:tcPr>
            <w:tcW w:w="859" w:type="dxa"/>
            <w:tcBorders>
              <w:top w:val="nil"/>
              <w:left w:val="single" w:color="auto" w:sz="4" w:space="0"/>
              <w:bottom w:val="single" w:color="auto" w:sz="4" w:space="0"/>
              <w:right w:val="single" w:color="auto" w:sz="4" w:space="0"/>
            </w:tcBorders>
            <w:vAlign w:val="center"/>
          </w:tcPr>
          <w:p>
            <w:pPr>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widowControl/>
              <w:rPr>
                <w:kern w:val="0"/>
                <w:sz w:val="20"/>
                <w:szCs w:val="20"/>
              </w:rPr>
            </w:pPr>
            <w:r>
              <w:rPr>
                <w:rFonts w:hint="eastAsia" w:ascii="仿宋" w:hAnsi="仿宋" w:eastAsia="仿宋" w:cs="宋体"/>
                <w:color w:val="000000"/>
                <w:kern w:val="0"/>
                <w:sz w:val="24"/>
                <w:szCs w:val="24"/>
              </w:rPr>
              <w:t>XQ12</w:t>
            </w:r>
            <w:r>
              <w:rPr>
                <w:rFonts w:ascii="仿宋" w:hAnsi="仿宋" w:eastAsia="仿宋" w:cs="宋体"/>
                <w:color w:val="000000"/>
                <w:kern w:val="0"/>
                <w:sz w:val="24"/>
                <w:szCs w:val="24"/>
              </w:rPr>
              <w:t>1</w:t>
            </w:r>
            <w:r>
              <w:rPr>
                <w:rFonts w:hint="eastAsia" w:ascii="楷体_GB2312" w:hAnsi="楷体" w:eastAsia="楷体_GB2312"/>
                <w:bCs/>
                <w:sz w:val="24"/>
              </w:rPr>
              <w:t xml:space="preserve">增强专业认同感和使命感。 </w:t>
            </w:r>
          </w:p>
        </w:tc>
        <w:tc>
          <w:tcPr>
            <w:tcW w:w="85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XQ122</w:t>
            </w:r>
            <w:r>
              <w:rPr>
                <w:rFonts w:hint="eastAsia" w:ascii="楷体_GB2312" w:hAnsi="楷体" w:eastAsia="楷体_GB2312"/>
                <w:bCs/>
                <w:sz w:val="24"/>
              </w:rPr>
              <w:t>具有人文底蕴、生命关怀和科学精神。</w:t>
            </w:r>
          </w:p>
        </w:tc>
        <w:tc>
          <w:tcPr>
            <w:tcW w:w="859" w:type="dxa"/>
            <w:tcBorders>
              <w:top w:val="nil"/>
              <w:left w:val="single" w:color="auto" w:sz="4" w:space="0"/>
              <w:bottom w:val="single" w:color="auto" w:sz="4" w:space="0"/>
              <w:right w:val="single" w:color="auto" w:sz="4" w:space="0"/>
            </w:tcBorders>
            <w:vAlign w:val="center"/>
          </w:tcPr>
          <w:p>
            <w:pPr>
              <w:widowControl/>
              <w:jc w:val="center"/>
              <w:rPr>
                <w:color w:val="000000"/>
                <w:kern w:val="0"/>
                <w:sz w:val="20"/>
                <w:szCs w:val="20"/>
              </w:rPr>
            </w:pPr>
            <w:r>
              <w:rPr>
                <w:color w:val="000000"/>
                <w:kern w:val="0"/>
                <w:sz w:val="20"/>
                <w:szCs w:val="20"/>
              </w:rPr>
              <w:sym w:font="Wingdings 2" w:char="F098"/>
            </w: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XQ123</w:t>
            </w:r>
            <w:r>
              <w:rPr>
                <w:rFonts w:hint="eastAsia" w:ascii="楷体_GB2312" w:hAnsi="楷体" w:eastAsia="楷体_GB2312"/>
                <w:bCs/>
                <w:sz w:val="24"/>
              </w:rPr>
              <w:t>践行幼儿为本和爱与自由理念。</w:t>
            </w:r>
          </w:p>
        </w:tc>
        <w:tc>
          <w:tcPr>
            <w:tcW w:w="859" w:type="dxa"/>
            <w:tcBorders>
              <w:top w:val="nil"/>
              <w:left w:val="single" w:color="auto" w:sz="4" w:space="0"/>
              <w:bottom w:val="single" w:color="auto" w:sz="4" w:space="0"/>
              <w:right w:val="single" w:color="auto" w:sz="4" w:space="0"/>
            </w:tcBorders>
            <w:vAlign w:val="center"/>
          </w:tcPr>
          <w:p>
            <w:pPr>
              <w:widowControl/>
              <w:jc w:val="center"/>
              <w:rPr>
                <w:rFonts w:hint="eastAsia" w:eastAsia="宋体"/>
                <w:color w:val="000000"/>
                <w:kern w:val="0"/>
                <w:sz w:val="20"/>
                <w:szCs w:val="20"/>
                <w:lang w:eastAsia="zh-CN"/>
              </w:rPr>
            </w:pPr>
            <w:r>
              <w:rPr>
                <w:rFonts w:hint="eastAsia"/>
                <w:color w:val="000000"/>
                <w:kern w:val="0"/>
                <w:sz w:val="20"/>
                <w:szCs w:val="20"/>
                <w:lang w:val="en-US" w:eastAsia="zh-CN"/>
              </w:rPr>
              <w:t xml:space="preserve"> </w:t>
            </w: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XQ21</w:t>
            </w:r>
            <w:r>
              <w:rPr>
                <w:rFonts w:hint="eastAsia" w:ascii="仿宋" w:hAnsi="仿宋" w:eastAsia="仿宋" w:cs="宋体"/>
                <w:color w:val="000000"/>
                <w:kern w:val="0"/>
                <w:sz w:val="24"/>
                <w:szCs w:val="24"/>
              </w:rPr>
              <w:t>1</w:t>
            </w:r>
            <w:r>
              <w:rPr>
                <w:rFonts w:hint="eastAsia" w:ascii="楷体_GB2312" w:hAnsi="楷体" w:eastAsia="楷体_GB2312"/>
                <w:bCs/>
                <w:sz w:val="24"/>
              </w:rPr>
              <w:t>掌握儿童发展、儿童研究的基本理论。</w:t>
            </w:r>
          </w:p>
        </w:tc>
        <w:tc>
          <w:tcPr>
            <w:tcW w:w="85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XQ212</w:t>
            </w:r>
            <w:r>
              <w:rPr>
                <w:rFonts w:hint="eastAsia" w:ascii="楷体_GB2312" w:hAnsi="楷体" w:eastAsia="楷体_GB2312"/>
                <w:bCs/>
                <w:sz w:val="24"/>
              </w:rPr>
              <w:t>具备现场观察、记录、分析幼儿的意识和能力。</w:t>
            </w:r>
          </w:p>
        </w:tc>
        <w:tc>
          <w:tcPr>
            <w:tcW w:w="85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XQ213</w:t>
            </w:r>
            <w:r>
              <w:rPr>
                <w:rFonts w:hint="eastAsia" w:ascii="楷体_GB2312" w:hAnsi="楷体" w:eastAsia="楷体_GB2312"/>
                <w:bCs/>
                <w:sz w:val="24"/>
              </w:rPr>
              <w:t>具备评价幼儿园教育活动的能力。</w:t>
            </w:r>
          </w:p>
        </w:tc>
        <w:tc>
          <w:tcPr>
            <w:tcW w:w="85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ascii="仿宋" w:hAnsi="仿宋" w:eastAsia="仿宋" w:cs="宋体"/>
                <w:color w:val="000000"/>
                <w:kern w:val="0"/>
                <w:sz w:val="24"/>
                <w:szCs w:val="24"/>
              </w:rPr>
              <w:t>XQ2</w:t>
            </w:r>
            <w:r>
              <w:rPr>
                <w:rFonts w:hint="eastAsia" w:ascii="仿宋" w:hAnsi="仿宋" w:eastAsia="仿宋" w:cs="宋体"/>
                <w:color w:val="000000"/>
                <w:kern w:val="0"/>
                <w:sz w:val="24"/>
                <w:szCs w:val="24"/>
              </w:rPr>
              <w:t>21</w:t>
            </w:r>
            <w:r>
              <w:rPr>
                <w:rFonts w:hint="eastAsia" w:ascii="楷体_GB2312" w:hAnsi="楷体" w:eastAsia="楷体_GB2312"/>
                <w:bCs/>
                <w:sz w:val="24"/>
              </w:rPr>
              <w:t xml:space="preserve">把握幼儿生理、心理特点。 </w:t>
            </w:r>
          </w:p>
        </w:tc>
        <w:tc>
          <w:tcPr>
            <w:tcW w:w="85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Q222</w:t>
            </w:r>
            <w:r>
              <w:rPr>
                <w:rFonts w:hint="eastAsia" w:ascii="楷体_GB2312" w:hAnsi="楷体" w:eastAsia="楷体_GB2312"/>
                <w:bCs/>
                <w:sz w:val="24"/>
              </w:rPr>
              <w:t>掌握幼儿园保育和教育的基本知识和方法。</w:t>
            </w:r>
          </w:p>
        </w:tc>
        <w:tc>
          <w:tcPr>
            <w:tcW w:w="859" w:type="dxa"/>
            <w:tcBorders>
              <w:top w:val="nil"/>
              <w:left w:val="single" w:color="auto" w:sz="4" w:space="0"/>
              <w:bottom w:val="single" w:color="auto" w:sz="4" w:space="0"/>
              <w:right w:val="single" w:color="auto" w:sz="4" w:space="0"/>
            </w:tcBorders>
            <w:vAlign w:val="center"/>
          </w:tcPr>
          <w:p>
            <w:pPr>
              <w:widowControl/>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Q223</w:t>
            </w:r>
            <w:r>
              <w:rPr>
                <w:rFonts w:hint="eastAsia" w:ascii="楷体_GB2312" w:hAnsi="楷体" w:eastAsia="楷体_GB2312"/>
                <w:bCs/>
                <w:sz w:val="24"/>
              </w:rPr>
              <w:t>熟悉五大领域知识并能合理运用于综合活动中。</w:t>
            </w:r>
          </w:p>
        </w:tc>
        <w:tc>
          <w:tcPr>
            <w:tcW w:w="859" w:type="dxa"/>
            <w:tcBorders>
              <w:top w:val="nil"/>
              <w:left w:val="single" w:color="auto" w:sz="4" w:space="0"/>
              <w:bottom w:val="single" w:color="auto" w:sz="4" w:space="0"/>
              <w:right w:val="single" w:color="auto" w:sz="4" w:space="0"/>
            </w:tcBorders>
            <w:vAlign w:val="center"/>
          </w:tcPr>
          <w:p>
            <w:pPr>
              <w:widowControl/>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XQ23</w:t>
            </w:r>
            <w:r>
              <w:rPr>
                <w:rFonts w:ascii="仿宋" w:hAnsi="仿宋" w:eastAsia="仿宋" w:cs="宋体"/>
                <w:color w:val="000000"/>
                <w:kern w:val="0"/>
                <w:sz w:val="24"/>
                <w:szCs w:val="24"/>
              </w:rPr>
              <w:t>1</w:t>
            </w:r>
            <w:r>
              <w:rPr>
                <w:rFonts w:hint="eastAsia" w:ascii="楷体_GB2312" w:hAnsi="楷体" w:eastAsia="楷体_GB2312"/>
                <w:bCs/>
                <w:sz w:val="24"/>
              </w:rPr>
              <w:t>充分认识大自然、大社会对幼儿发展的价值。</w:t>
            </w:r>
          </w:p>
        </w:tc>
        <w:tc>
          <w:tcPr>
            <w:tcW w:w="85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XQ232</w:t>
            </w:r>
            <w:r>
              <w:rPr>
                <w:rFonts w:hint="eastAsia" w:ascii="楷体_GB2312" w:hAnsi="楷体" w:eastAsia="楷体_GB2312"/>
                <w:bCs/>
                <w:sz w:val="24"/>
              </w:rPr>
              <w:t>具备创设有准备的环境的知识和能力。</w:t>
            </w:r>
          </w:p>
        </w:tc>
        <w:tc>
          <w:tcPr>
            <w:tcW w:w="85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XQ233</w:t>
            </w:r>
            <w:r>
              <w:rPr>
                <w:rFonts w:hint="eastAsia" w:ascii="楷体_GB2312" w:hAnsi="楷体" w:eastAsia="楷体_GB2312"/>
                <w:bCs/>
                <w:sz w:val="24"/>
              </w:rPr>
              <w:t>具备幼儿与环境互动质量的评价能力。</w:t>
            </w:r>
          </w:p>
        </w:tc>
        <w:tc>
          <w:tcPr>
            <w:tcW w:w="85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ascii="仿宋" w:hAnsi="仿宋" w:eastAsia="仿宋" w:cs="宋体"/>
                <w:color w:val="000000"/>
                <w:kern w:val="0"/>
                <w:sz w:val="24"/>
                <w:szCs w:val="24"/>
              </w:rPr>
              <w:t>XQ</w:t>
            </w: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1</w:t>
            </w:r>
            <w:r>
              <w:rPr>
                <w:rFonts w:hint="eastAsia" w:ascii="楷体_GB2312" w:hAnsi="楷体" w:eastAsia="楷体_GB2312"/>
                <w:bCs/>
                <w:sz w:val="24"/>
              </w:rPr>
              <w:t xml:space="preserve">能引导幼儿建立班级的秩序与规则。 </w:t>
            </w:r>
          </w:p>
        </w:tc>
        <w:tc>
          <w:tcPr>
            <w:tcW w:w="85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XQ312</w:t>
            </w:r>
            <w:r>
              <w:rPr>
                <w:rFonts w:hint="eastAsia" w:ascii="楷体_GB2312" w:hAnsi="楷体" w:eastAsia="楷体_GB2312"/>
                <w:bCs/>
                <w:sz w:val="24"/>
              </w:rPr>
              <w:t>能营造愉悦、尊重、平等、积极的班级氛围。</w:t>
            </w:r>
          </w:p>
        </w:tc>
        <w:tc>
          <w:tcPr>
            <w:tcW w:w="85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XQ313</w:t>
            </w:r>
            <w:r>
              <w:rPr>
                <w:rFonts w:hint="eastAsia" w:ascii="楷体_GB2312" w:hAnsi="楷体" w:eastAsia="楷体_GB2312"/>
                <w:bCs/>
                <w:sz w:val="24"/>
              </w:rPr>
              <w:t>有以班级为纽带调动家庭和社区资源的意识和能力。</w:t>
            </w:r>
          </w:p>
        </w:tc>
        <w:tc>
          <w:tcPr>
            <w:tcW w:w="85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rPr>
              <w:t>XQ</w:t>
            </w:r>
            <w:r>
              <w:rPr>
                <w:rFonts w:ascii="仿宋" w:hAnsi="仿宋" w:eastAsia="仿宋" w:cs="宋体"/>
                <w:color w:val="000000"/>
                <w:kern w:val="0"/>
                <w:sz w:val="24"/>
                <w:szCs w:val="24"/>
              </w:rPr>
              <w:t>32</w:t>
            </w:r>
            <w:r>
              <w:rPr>
                <w:rFonts w:hint="eastAsia" w:ascii="仿宋" w:hAnsi="仿宋" w:eastAsia="仿宋" w:cs="宋体"/>
                <w:color w:val="000000"/>
                <w:kern w:val="0"/>
                <w:sz w:val="24"/>
                <w:szCs w:val="24"/>
              </w:rPr>
              <w:t>1</w:t>
            </w:r>
            <w:r>
              <w:rPr>
                <w:rFonts w:hint="eastAsia" w:ascii="楷体_GB2312" w:hAnsi="楷体" w:eastAsia="楷体_GB2312"/>
                <w:bCs/>
                <w:sz w:val="24"/>
              </w:rPr>
              <w:t>充分认识一日生活的课程价值。</w:t>
            </w:r>
          </w:p>
        </w:tc>
        <w:tc>
          <w:tcPr>
            <w:tcW w:w="85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XQ322</w:t>
            </w:r>
            <w:r>
              <w:rPr>
                <w:rFonts w:hint="eastAsia" w:ascii="楷体_GB2312" w:hAnsi="楷体" w:eastAsia="楷体_GB2312"/>
                <w:bCs/>
                <w:sz w:val="24"/>
              </w:rPr>
              <w:t>具备以游戏为幼儿园基本活动的意识和能力。</w:t>
            </w:r>
          </w:p>
        </w:tc>
        <w:tc>
          <w:tcPr>
            <w:tcW w:w="85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XQ323</w:t>
            </w:r>
            <w:r>
              <w:rPr>
                <w:rFonts w:hint="eastAsia" w:ascii="楷体_GB2312" w:hAnsi="楷体" w:eastAsia="楷体_GB2312"/>
                <w:bCs/>
                <w:sz w:val="24"/>
              </w:rPr>
              <w:t>具有整合幼儿园、家庭与社区资源的能力。</w:t>
            </w:r>
          </w:p>
        </w:tc>
        <w:tc>
          <w:tcPr>
            <w:tcW w:w="85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rFonts w:ascii="楷体_GB2312" w:hAnsi="楷体" w:eastAsia="楷体_GB2312"/>
                <w:bCs/>
                <w:sz w:val="24"/>
              </w:rPr>
            </w:pPr>
            <w:r>
              <w:rPr>
                <w:rFonts w:ascii="仿宋" w:hAnsi="仿宋" w:eastAsia="仿宋" w:cs="宋体"/>
                <w:color w:val="000000"/>
                <w:kern w:val="0"/>
                <w:sz w:val="24"/>
                <w:szCs w:val="24"/>
              </w:rPr>
              <w:t>XQ41</w:t>
            </w:r>
            <w:r>
              <w:rPr>
                <w:rFonts w:hint="eastAsia" w:ascii="仿宋" w:hAnsi="仿宋" w:eastAsia="仿宋" w:cs="宋体"/>
                <w:color w:val="000000"/>
                <w:kern w:val="0"/>
                <w:sz w:val="24"/>
                <w:szCs w:val="24"/>
              </w:rPr>
              <w:t>1</w:t>
            </w:r>
            <w:r>
              <w:rPr>
                <w:rFonts w:hint="eastAsia" w:ascii="楷体_GB2312" w:hAnsi="楷体" w:eastAsia="楷体_GB2312"/>
                <w:bCs/>
                <w:sz w:val="24"/>
              </w:rPr>
              <w:t>养成主动学习、批判性思考的习惯和品格。</w:t>
            </w:r>
          </w:p>
        </w:tc>
        <w:tc>
          <w:tcPr>
            <w:tcW w:w="85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XQ412</w:t>
            </w:r>
            <w:r>
              <w:rPr>
                <w:rFonts w:hint="eastAsia" w:ascii="楷体_GB2312" w:hAnsi="楷体" w:eastAsia="楷体_GB2312"/>
                <w:bCs/>
                <w:sz w:val="24"/>
              </w:rPr>
              <w:t>具有自我反思和引导幼儿反思的意识和能力。</w:t>
            </w:r>
          </w:p>
        </w:tc>
        <w:tc>
          <w:tcPr>
            <w:tcW w:w="859" w:type="dxa"/>
            <w:tcBorders>
              <w:top w:val="nil"/>
              <w:left w:val="single" w:color="auto" w:sz="4" w:space="0"/>
              <w:bottom w:val="single" w:color="auto" w:sz="4" w:space="0"/>
              <w:right w:val="single" w:color="auto" w:sz="4" w:space="0"/>
            </w:tcBorders>
            <w:vAlign w:val="center"/>
          </w:tcPr>
          <w:p>
            <w:pPr>
              <w:widowControl/>
              <w:jc w:val="center"/>
              <w:rPr>
                <w:color w:val="000000"/>
                <w:kern w:val="0"/>
                <w:sz w:val="20"/>
                <w:szCs w:val="20"/>
              </w:rPr>
            </w:pPr>
            <w:r>
              <w:rPr>
                <w:color w:val="000000"/>
                <w:kern w:val="0"/>
                <w:sz w:val="20"/>
                <w:szCs w:val="20"/>
              </w:rPr>
              <w:sym w:font="Wingdings 2" w:char="F098"/>
            </w: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XQ413</w:t>
            </w:r>
            <w:r>
              <w:rPr>
                <w:rFonts w:hint="eastAsia" w:ascii="楷体_GB2312" w:hAnsi="楷体" w:eastAsia="楷体_GB2312"/>
                <w:bCs/>
                <w:sz w:val="24"/>
              </w:rPr>
              <w:t>具有创造性解决问题的意识与能力。</w:t>
            </w:r>
          </w:p>
        </w:tc>
        <w:tc>
          <w:tcPr>
            <w:tcW w:w="859" w:type="dxa"/>
            <w:tcBorders>
              <w:top w:val="nil"/>
              <w:left w:val="single" w:color="auto" w:sz="4" w:space="0"/>
              <w:bottom w:val="single" w:color="auto" w:sz="4" w:space="0"/>
              <w:right w:val="single" w:color="auto" w:sz="4" w:space="0"/>
            </w:tcBorders>
            <w:vAlign w:val="center"/>
          </w:tcPr>
          <w:p>
            <w:pPr>
              <w:widowControl/>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XQ42</w:t>
            </w:r>
            <w:r>
              <w:rPr>
                <w:rFonts w:hint="eastAsia" w:ascii="仿宋" w:hAnsi="仿宋" w:eastAsia="仿宋" w:cs="宋体"/>
                <w:color w:val="000000"/>
                <w:kern w:val="0"/>
                <w:sz w:val="24"/>
                <w:szCs w:val="24"/>
              </w:rPr>
              <w:t>1</w:t>
            </w:r>
            <w:r>
              <w:rPr>
                <w:rFonts w:hint="eastAsia" w:ascii="楷体_GB2312" w:hAnsi="楷体" w:eastAsia="楷体_GB2312"/>
                <w:bCs/>
                <w:sz w:val="24"/>
              </w:rPr>
              <w:t>有参与国际教育交流的意识和能力。</w:t>
            </w:r>
          </w:p>
        </w:tc>
        <w:tc>
          <w:tcPr>
            <w:tcW w:w="85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XQ422</w:t>
            </w:r>
            <w:r>
              <w:rPr>
                <w:rFonts w:hint="eastAsia" w:ascii="楷体_GB2312" w:hAnsi="楷体" w:eastAsia="楷体_GB2312"/>
                <w:bCs/>
                <w:sz w:val="24"/>
              </w:rPr>
              <w:t>把握学前教育改革发展趋势和前沿动态。</w:t>
            </w:r>
          </w:p>
        </w:tc>
        <w:tc>
          <w:tcPr>
            <w:tcW w:w="859" w:type="dxa"/>
            <w:tcBorders>
              <w:top w:val="nil"/>
              <w:left w:val="single" w:color="auto" w:sz="4" w:space="0"/>
              <w:bottom w:val="single" w:color="auto" w:sz="4" w:space="0"/>
              <w:right w:val="single" w:color="auto" w:sz="4" w:space="0"/>
            </w:tcBorders>
            <w:vAlign w:val="center"/>
          </w:tcPr>
          <w:p>
            <w:pPr>
              <w:widowControl/>
              <w:jc w:val="center"/>
              <w:rPr>
                <w:color w:val="000000"/>
                <w:kern w:val="0"/>
                <w:sz w:val="20"/>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XQ423</w:t>
            </w:r>
            <w:r>
              <w:rPr>
                <w:rFonts w:hint="eastAsia" w:ascii="楷体_GB2312" w:hAnsi="楷体" w:eastAsia="楷体_GB2312"/>
                <w:bCs/>
                <w:sz w:val="24"/>
              </w:rPr>
              <w:t>有分析和借鉴国际教育理念与实践的能力。</w:t>
            </w:r>
          </w:p>
        </w:tc>
        <w:tc>
          <w:tcPr>
            <w:tcW w:w="859" w:type="dxa"/>
            <w:tcBorders>
              <w:top w:val="nil"/>
              <w:left w:val="single" w:color="auto" w:sz="4" w:space="0"/>
              <w:bottom w:val="single" w:color="auto" w:sz="4" w:space="0"/>
              <w:right w:val="single" w:color="auto" w:sz="4" w:space="0"/>
            </w:tcBorders>
            <w:vAlign w:val="center"/>
          </w:tcPr>
          <w:p>
            <w:pPr>
              <w:widowControl/>
              <w:jc w:val="center"/>
              <w:rPr>
                <w:color w:val="000000"/>
                <w:kern w:val="0"/>
                <w:sz w:val="20"/>
                <w:szCs w:val="20"/>
              </w:rPr>
            </w:pPr>
            <w:r>
              <w:rPr>
                <w:rFonts w:hint="eastAsia"/>
                <w:color w:val="000000"/>
                <w:kern w:val="0"/>
                <w:sz w:val="20"/>
                <w:szCs w:val="20"/>
              </w:rPr>
              <w:t xml:space="preserve"> </w:t>
            </w: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kern w:val="0"/>
                <w:sz w:val="20"/>
                <w:szCs w:val="20"/>
              </w:rPr>
            </w:pPr>
            <w:r>
              <w:rPr>
                <w:rFonts w:ascii="仿宋" w:hAnsi="仿宋" w:eastAsia="仿宋" w:cs="宋体"/>
                <w:color w:val="000000"/>
                <w:kern w:val="0"/>
                <w:sz w:val="24"/>
                <w:szCs w:val="24"/>
              </w:rPr>
              <w:t>XQ43</w:t>
            </w:r>
            <w:r>
              <w:rPr>
                <w:rFonts w:hint="eastAsia" w:ascii="仿宋" w:hAnsi="仿宋" w:eastAsia="仿宋" w:cs="宋体"/>
                <w:color w:val="000000"/>
                <w:kern w:val="0"/>
                <w:sz w:val="24"/>
                <w:szCs w:val="24"/>
              </w:rPr>
              <w:t>1</w:t>
            </w:r>
            <w:r>
              <w:rPr>
                <w:rFonts w:hint="eastAsia" w:ascii="楷体_GB2312" w:hAnsi="楷体" w:eastAsia="楷体_GB2312"/>
                <w:bCs/>
                <w:sz w:val="24"/>
              </w:rPr>
              <w:t>具有团队协作精神，认同学习共同体的价值。</w:t>
            </w:r>
          </w:p>
        </w:tc>
        <w:tc>
          <w:tcPr>
            <w:tcW w:w="85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XQ432</w:t>
            </w:r>
            <w:r>
              <w:rPr>
                <w:rFonts w:hint="eastAsia" w:ascii="楷体_GB2312" w:hAnsi="楷体" w:eastAsia="楷体_GB2312"/>
                <w:bCs/>
                <w:sz w:val="24"/>
              </w:rPr>
              <w:t>掌握沟通合作的技能。</w:t>
            </w:r>
          </w:p>
        </w:tc>
        <w:tc>
          <w:tcPr>
            <w:tcW w:w="85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r>
        <w:tblPrEx>
          <w:tblCellMar>
            <w:top w:w="0" w:type="dxa"/>
            <w:left w:w="108" w:type="dxa"/>
            <w:bottom w:w="0" w:type="dxa"/>
            <w:right w:w="108" w:type="dxa"/>
          </w:tblCellMar>
        </w:tblPrEx>
        <w:trPr>
          <w:trHeight w:val="283" w:hRule="atLeast"/>
        </w:trPr>
        <w:tc>
          <w:tcPr>
            <w:tcW w:w="8237" w:type="dxa"/>
            <w:tcBorders>
              <w:top w:val="nil"/>
              <w:left w:val="single" w:color="auto" w:sz="4" w:space="0"/>
              <w:bottom w:val="single" w:color="auto" w:sz="4" w:space="0"/>
              <w:right w:val="single" w:color="auto" w:sz="4" w:space="0"/>
            </w:tcBorders>
            <w:vAlign w:val="center"/>
          </w:tcPr>
          <w:p>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w:t>
            </w:r>
            <w:r>
              <w:rPr>
                <w:rFonts w:ascii="仿宋" w:hAnsi="仿宋" w:eastAsia="仿宋" w:cs="宋体"/>
                <w:color w:val="000000"/>
                <w:kern w:val="0"/>
                <w:sz w:val="24"/>
                <w:szCs w:val="24"/>
              </w:rPr>
              <w:t>Q433</w:t>
            </w:r>
            <w:r>
              <w:rPr>
                <w:rFonts w:hint="eastAsia" w:ascii="楷体_GB2312" w:hAnsi="楷体" w:eastAsia="楷体_GB2312"/>
                <w:bCs/>
                <w:sz w:val="24"/>
              </w:rPr>
              <w:t>有参与、组织专业团队开展合作学习的意识和能力。</w:t>
            </w:r>
          </w:p>
        </w:tc>
        <w:tc>
          <w:tcPr>
            <w:tcW w:w="85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0"/>
              </w:rPr>
            </w:pPr>
          </w:p>
        </w:tc>
      </w:tr>
    </w:tbl>
    <w:p>
      <w:pPr>
        <w:pStyle w:val="6"/>
        <w:jc w:val="left"/>
      </w:pPr>
      <w:r>
        <w:rPr>
          <w:rFonts w:hint="eastAsia" w:ascii="宋体" w:hAnsi="宋体"/>
          <w:b w:val="0"/>
          <w:sz w:val="21"/>
          <w:szCs w:val="21"/>
        </w:rPr>
        <w:t>备注：XQ = 学前教育</w:t>
      </w:r>
    </w:p>
    <w:p>
      <w:pPr>
        <w:rPr>
          <w:lang w:val="zh-CN"/>
        </w:rPr>
      </w:pPr>
    </w:p>
    <w:p>
      <w:pPr>
        <w:pStyle w:val="6"/>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pPr>
        <w:rPr>
          <w:lang w:val="zh-CN"/>
        </w:rPr>
      </w:pPr>
    </w:p>
    <w:tbl>
      <w:tblPr>
        <w:tblStyle w:val="7"/>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114"/>
        <w:gridCol w:w="2835"/>
        <w:gridCol w:w="1985"/>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napToGrid w:val="0"/>
              <w:spacing w:line="288" w:lineRule="auto"/>
              <w:jc w:val="center"/>
              <w:rPr>
                <w:b/>
                <w:color w:val="000000"/>
                <w:sz w:val="20"/>
                <w:szCs w:val="20"/>
              </w:rPr>
            </w:pPr>
            <w:r>
              <w:rPr>
                <w:rFonts w:hint="eastAsia"/>
                <w:b/>
                <w:color w:val="000000"/>
                <w:sz w:val="20"/>
                <w:szCs w:val="20"/>
              </w:rPr>
              <w:t>序号</w:t>
            </w:r>
          </w:p>
        </w:tc>
        <w:tc>
          <w:tcPr>
            <w:tcW w:w="1114" w:type="dxa"/>
          </w:tcPr>
          <w:p>
            <w:pPr>
              <w:snapToGrid w:val="0"/>
              <w:spacing w:line="288" w:lineRule="auto"/>
              <w:jc w:val="center"/>
              <w:rPr>
                <w:b/>
                <w:color w:val="000000"/>
                <w:sz w:val="20"/>
                <w:szCs w:val="20"/>
              </w:rPr>
            </w:pPr>
            <w:r>
              <w:rPr>
                <w:rFonts w:hint="eastAsia"/>
                <w:b/>
                <w:color w:val="000000"/>
                <w:sz w:val="20"/>
                <w:szCs w:val="20"/>
              </w:rPr>
              <w:t>课程预期</w:t>
            </w:r>
          </w:p>
          <w:p>
            <w:pPr>
              <w:widowControl/>
              <w:jc w:val="left"/>
              <w:rPr>
                <w:b/>
                <w:color w:val="000000"/>
                <w:sz w:val="20"/>
                <w:szCs w:val="20"/>
              </w:rPr>
            </w:pPr>
            <w:r>
              <w:rPr>
                <w:rFonts w:hint="eastAsia"/>
                <w:b/>
                <w:color w:val="000000"/>
                <w:sz w:val="20"/>
                <w:szCs w:val="20"/>
              </w:rPr>
              <w:t>学习成果</w:t>
            </w:r>
          </w:p>
        </w:tc>
        <w:tc>
          <w:tcPr>
            <w:tcW w:w="2835" w:type="dxa"/>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985"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603"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rPr>
                <w:color w:val="000000"/>
                <w:sz w:val="20"/>
                <w:szCs w:val="20"/>
              </w:rPr>
            </w:pPr>
            <w:r>
              <w:rPr>
                <w:rFonts w:hint="eastAsia"/>
                <w:color w:val="000000"/>
                <w:sz w:val="20"/>
                <w:szCs w:val="20"/>
              </w:rPr>
              <w:t>1</w:t>
            </w:r>
          </w:p>
        </w:tc>
        <w:tc>
          <w:tcPr>
            <w:tcW w:w="1114" w:type="dxa"/>
            <w:vAlign w:val="center"/>
          </w:tcPr>
          <w:p>
            <w:pPr>
              <w:widowControl/>
              <w:rPr>
                <w:color w:val="000000"/>
                <w:sz w:val="20"/>
                <w:szCs w:val="20"/>
              </w:rPr>
            </w:pPr>
            <w:r>
              <w:rPr>
                <w:rFonts w:hint="eastAsia"/>
                <w:color w:val="000000"/>
                <w:sz w:val="20"/>
                <w:szCs w:val="20"/>
              </w:rPr>
              <w:t>XQ122具有人文底蕴、生命关怀和科学精神。</w:t>
            </w:r>
          </w:p>
        </w:tc>
        <w:tc>
          <w:tcPr>
            <w:tcW w:w="2835" w:type="dxa"/>
          </w:tcPr>
          <w:p>
            <w:pPr>
              <w:rPr>
                <w:color w:val="000000"/>
                <w:sz w:val="20"/>
                <w:szCs w:val="20"/>
              </w:rPr>
            </w:pPr>
            <w:r>
              <w:rPr>
                <w:rFonts w:hint="eastAsia"/>
                <w:color w:val="000000"/>
                <w:sz w:val="20"/>
                <w:szCs w:val="20"/>
              </w:rPr>
              <w:t xml:space="preserve">1.明白儿童天生就是哲学家的事实，儿童提出并探索哲学问题是他们与生俱来的一种本能。因此作为教师，必须保护和发展儿童这样的本能。 </w:t>
            </w:r>
          </w:p>
        </w:tc>
        <w:tc>
          <w:tcPr>
            <w:tcW w:w="1985" w:type="dxa"/>
          </w:tcPr>
          <w:p>
            <w:pPr>
              <w:snapToGrid w:val="0"/>
              <w:spacing w:line="288" w:lineRule="auto"/>
              <w:jc w:val="center"/>
              <w:rPr>
                <w:color w:val="000000"/>
                <w:sz w:val="20"/>
                <w:szCs w:val="20"/>
              </w:rPr>
            </w:pPr>
            <w:r>
              <w:rPr>
                <w:rFonts w:hint="eastAsia"/>
                <w:color w:val="000000"/>
                <w:sz w:val="20"/>
                <w:szCs w:val="20"/>
              </w:rPr>
              <w:t>课堂讲授、实例分析</w:t>
            </w:r>
          </w:p>
        </w:tc>
        <w:tc>
          <w:tcPr>
            <w:tcW w:w="1603" w:type="dxa"/>
          </w:tcPr>
          <w:p>
            <w:pPr>
              <w:numPr>
                <w:ilvl w:val="0"/>
                <w:numId w:val="1"/>
              </w:numPr>
              <w:snapToGrid w:val="0"/>
              <w:spacing w:line="288" w:lineRule="auto"/>
              <w:rPr>
                <w:rFonts w:hint="eastAsia"/>
                <w:color w:val="000000"/>
                <w:sz w:val="20"/>
                <w:szCs w:val="20"/>
              </w:rPr>
            </w:pPr>
            <w:r>
              <w:rPr>
                <w:rFonts w:hint="eastAsia"/>
                <w:color w:val="000000"/>
                <w:sz w:val="20"/>
                <w:szCs w:val="20"/>
              </w:rPr>
              <w:t>期末考核。</w:t>
            </w:r>
          </w:p>
          <w:p>
            <w:pPr>
              <w:numPr>
                <w:ilvl w:val="0"/>
                <w:numId w:val="1"/>
              </w:numPr>
              <w:snapToGrid w:val="0"/>
              <w:spacing w:line="288" w:lineRule="auto"/>
              <w:rPr>
                <w:rFonts w:hint="eastAsia"/>
                <w:color w:val="000000"/>
                <w:sz w:val="20"/>
                <w:szCs w:val="20"/>
              </w:rPr>
            </w:pPr>
            <w:r>
              <w:rPr>
                <w:rFonts w:hint="eastAsia"/>
                <w:color w:val="000000"/>
                <w:sz w:val="20"/>
                <w:szCs w:val="20"/>
                <w:lang w:val="en-US" w:eastAsia="zh-CN"/>
              </w:rPr>
              <w:t>课堂参与</w:t>
            </w:r>
          </w:p>
          <w:p>
            <w:pPr>
              <w:numPr>
                <w:ilvl w:val="0"/>
                <w:numId w:val="1"/>
              </w:numPr>
              <w:snapToGrid w:val="0"/>
              <w:spacing w:line="288" w:lineRule="auto"/>
              <w:rPr>
                <w:rFonts w:hint="eastAsia"/>
                <w:color w:val="000000"/>
                <w:sz w:val="20"/>
                <w:szCs w:val="20"/>
              </w:rPr>
            </w:pPr>
            <w:r>
              <w:rPr>
                <w:rFonts w:hint="eastAsia"/>
                <w:color w:val="000000"/>
                <w:sz w:val="20"/>
                <w:szCs w:val="20"/>
                <w:lang w:val="en-US" w:eastAsia="zh-CN"/>
              </w:rPr>
              <w:t>平时表现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17" w:type="dxa"/>
          </w:tcPr>
          <w:p>
            <w:pPr>
              <w:rPr>
                <w:rFonts w:hint="eastAsia" w:eastAsia="宋体"/>
                <w:color w:val="000000"/>
                <w:sz w:val="20"/>
                <w:szCs w:val="20"/>
                <w:lang w:eastAsia="zh-CN"/>
              </w:rPr>
            </w:pPr>
            <w:r>
              <w:rPr>
                <w:rFonts w:hint="eastAsia"/>
                <w:color w:val="000000"/>
                <w:sz w:val="20"/>
                <w:szCs w:val="20"/>
                <w:lang w:val="en-US" w:eastAsia="zh-CN"/>
              </w:rPr>
              <w:t>2</w:t>
            </w:r>
          </w:p>
        </w:tc>
        <w:tc>
          <w:tcPr>
            <w:tcW w:w="1114" w:type="dxa"/>
          </w:tcPr>
          <w:p>
            <w:pPr>
              <w:snapToGrid w:val="0"/>
              <w:spacing w:line="288" w:lineRule="auto"/>
              <w:rPr>
                <w:color w:val="000000"/>
                <w:sz w:val="20"/>
                <w:szCs w:val="20"/>
              </w:rPr>
            </w:pPr>
            <w:r>
              <w:rPr>
                <w:color w:val="000000"/>
                <w:sz w:val="20"/>
                <w:szCs w:val="20"/>
              </w:rPr>
              <w:t>XQ41</w:t>
            </w:r>
            <w:r>
              <w:rPr>
                <w:rFonts w:hint="eastAsia"/>
                <w:color w:val="000000"/>
                <w:sz w:val="20"/>
                <w:szCs w:val="20"/>
              </w:rPr>
              <w:t>1养成主动学习、批判性思考的习惯和品格。</w:t>
            </w:r>
          </w:p>
        </w:tc>
        <w:tc>
          <w:tcPr>
            <w:tcW w:w="2835" w:type="dxa"/>
          </w:tcPr>
          <w:p>
            <w:pPr>
              <w:rPr>
                <w:color w:val="000000"/>
                <w:sz w:val="20"/>
                <w:szCs w:val="20"/>
              </w:rPr>
            </w:pPr>
            <w:r>
              <w:rPr>
                <w:rFonts w:hint="eastAsia"/>
                <w:color w:val="000000"/>
                <w:sz w:val="20"/>
                <w:szCs w:val="20"/>
              </w:rPr>
              <w:t>1.掌握P</w:t>
            </w:r>
            <w:r>
              <w:rPr>
                <w:color w:val="000000"/>
                <w:sz w:val="20"/>
                <w:szCs w:val="20"/>
              </w:rPr>
              <w:t>4C</w:t>
            </w:r>
            <w:r>
              <w:rPr>
                <w:rFonts w:hint="eastAsia"/>
                <w:color w:val="000000"/>
                <w:sz w:val="20"/>
                <w:szCs w:val="20"/>
              </w:rPr>
              <w:t>的四项核心素养理念。</w:t>
            </w:r>
          </w:p>
          <w:p>
            <w:pPr>
              <w:rPr>
                <w:color w:val="000000"/>
                <w:sz w:val="20"/>
                <w:szCs w:val="20"/>
              </w:rPr>
            </w:pPr>
            <w:r>
              <w:rPr>
                <w:rFonts w:hint="eastAsia"/>
                <w:color w:val="000000"/>
                <w:sz w:val="20"/>
                <w:szCs w:val="20"/>
              </w:rPr>
              <w:t>2.明白儿童哲学不仅仅是为了训练学生的思维能力或其他能力，而是要通达儿童精神世界的深处，使他们学会关心和照料自己的“灵魂”。</w:t>
            </w:r>
            <w:r>
              <w:rPr>
                <w:color w:val="000000"/>
                <w:sz w:val="20"/>
                <w:szCs w:val="20"/>
              </w:rPr>
              <w:t xml:space="preserve"> </w:t>
            </w:r>
          </w:p>
          <w:p>
            <w:pPr>
              <w:rPr>
                <w:color w:val="000000"/>
                <w:sz w:val="20"/>
                <w:szCs w:val="20"/>
              </w:rPr>
            </w:pPr>
          </w:p>
        </w:tc>
        <w:tc>
          <w:tcPr>
            <w:tcW w:w="1985" w:type="dxa"/>
          </w:tcPr>
          <w:p>
            <w:pPr>
              <w:snapToGrid w:val="0"/>
              <w:spacing w:line="288" w:lineRule="auto"/>
              <w:jc w:val="center"/>
              <w:rPr>
                <w:color w:val="000000"/>
                <w:sz w:val="20"/>
                <w:szCs w:val="20"/>
              </w:rPr>
            </w:pPr>
            <w:r>
              <w:rPr>
                <w:rFonts w:hint="eastAsia"/>
                <w:color w:val="000000"/>
                <w:sz w:val="20"/>
                <w:szCs w:val="20"/>
              </w:rPr>
              <w:t>自主学习</w:t>
            </w:r>
          </w:p>
          <w:p>
            <w:pPr>
              <w:snapToGrid w:val="0"/>
              <w:spacing w:line="288" w:lineRule="auto"/>
              <w:jc w:val="center"/>
              <w:rPr>
                <w:color w:val="000000"/>
                <w:sz w:val="20"/>
                <w:szCs w:val="20"/>
              </w:rPr>
            </w:pPr>
            <w:r>
              <w:rPr>
                <w:rFonts w:hint="eastAsia"/>
                <w:color w:val="000000"/>
                <w:sz w:val="20"/>
                <w:szCs w:val="20"/>
              </w:rPr>
              <w:t>课堂讨论</w:t>
            </w:r>
          </w:p>
        </w:tc>
        <w:tc>
          <w:tcPr>
            <w:tcW w:w="1603" w:type="dxa"/>
          </w:tcPr>
          <w:p>
            <w:pPr>
              <w:snapToGrid w:val="0"/>
              <w:spacing w:line="288" w:lineRule="auto"/>
              <w:rPr>
                <w:rFonts w:hint="default" w:eastAsia="宋体"/>
                <w:color w:val="000000"/>
                <w:sz w:val="20"/>
                <w:szCs w:val="20"/>
                <w:lang w:val="en-US" w:eastAsia="zh-CN"/>
              </w:rPr>
            </w:pPr>
            <w:r>
              <w:rPr>
                <w:rFonts w:hint="eastAsia"/>
                <w:color w:val="000000"/>
                <w:sz w:val="20"/>
                <w:szCs w:val="20"/>
              </w:rPr>
              <w:t>1</w:t>
            </w:r>
            <w:r>
              <w:rPr>
                <w:rFonts w:hint="eastAsia"/>
                <w:color w:val="000000"/>
                <w:sz w:val="20"/>
                <w:szCs w:val="20"/>
                <w:lang w:eastAsia="zh-CN"/>
              </w:rPr>
              <w:t>.</w:t>
            </w:r>
            <w:r>
              <w:rPr>
                <w:rFonts w:hint="eastAsia"/>
                <w:color w:val="000000"/>
                <w:sz w:val="20"/>
                <w:szCs w:val="20"/>
                <w:lang w:val="en-US" w:eastAsia="zh-CN"/>
              </w:rPr>
              <w:t>课堂参与</w:t>
            </w:r>
          </w:p>
          <w:p>
            <w:pPr>
              <w:snapToGrid w:val="0"/>
              <w:spacing w:line="288" w:lineRule="auto"/>
              <w:rPr>
                <w:rFonts w:hint="eastAsia"/>
                <w:color w:val="000000"/>
                <w:sz w:val="20"/>
                <w:szCs w:val="20"/>
              </w:rPr>
            </w:pPr>
            <w:r>
              <w:rPr>
                <w:rFonts w:hint="eastAsia"/>
                <w:color w:val="000000"/>
                <w:sz w:val="20"/>
                <w:szCs w:val="20"/>
              </w:rPr>
              <w:t>2.期末考核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17" w:type="dxa"/>
          </w:tcPr>
          <w:p>
            <w:pPr>
              <w:rPr>
                <w:rFonts w:hint="eastAsia" w:eastAsia="宋体"/>
                <w:color w:val="000000"/>
                <w:sz w:val="20"/>
                <w:szCs w:val="20"/>
                <w:lang w:val="en-US" w:eastAsia="zh-CN"/>
              </w:rPr>
            </w:pPr>
            <w:r>
              <w:rPr>
                <w:rFonts w:hint="eastAsia"/>
                <w:color w:val="000000"/>
                <w:sz w:val="20"/>
                <w:szCs w:val="20"/>
                <w:lang w:val="en-US" w:eastAsia="zh-CN"/>
              </w:rPr>
              <w:t>3</w:t>
            </w:r>
          </w:p>
        </w:tc>
        <w:tc>
          <w:tcPr>
            <w:tcW w:w="1114" w:type="dxa"/>
          </w:tcPr>
          <w:p>
            <w:pPr>
              <w:snapToGrid w:val="0"/>
              <w:spacing w:line="288" w:lineRule="auto"/>
              <w:rPr>
                <w:color w:val="000000"/>
                <w:sz w:val="20"/>
                <w:szCs w:val="20"/>
              </w:rPr>
            </w:pPr>
            <w:r>
              <w:rPr>
                <w:rFonts w:hint="eastAsia" w:ascii="仿宋" w:hAnsi="仿宋" w:eastAsia="仿宋" w:cs="宋体"/>
                <w:color w:val="000000"/>
                <w:kern w:val="0"/>
                <w:sz w:val="24"/>
                <w:szCs w:val="24"/>
              </w:rPr>
              <w:t>XQ412</w:t>
            </w:r>
            <w:r>
              <w:rPr>
                <w:rFonts w:hint="eastAsia"/>
                <w:color w:val="000000"/>
                <w:sz w:val="20"/>
                <w:szCs w:val="20"/>
              </w:rPr>
              <w:t>具有自我反思和引导幼儿反思的意识和能力。</w:t>
            </w:r>
          </w:p>
        </w:tc>
        <w:tc>
          <w:tcPr>
            <w:tcW w:w="2835" w:type="dxa"/>
          </w:tcPr>
          <w:p>
            <w:pPr>
              <w:rPr>
                <w:rFonts w:hint="default" w:eastAsia="宋体"/>
                <w:color w:val="000000"/>
                <w:sz w:val="20"/>
                <w:szCs w:val="20"/>
                <w:lang w:val="en-US" w:eastAsia="zh-CN"/>
              </w:rPr>
            </w:pPr>
            <w:r>
              <w:rPr>
                <w:rFonts w:hint="eastAsia"/>
                <w:color w:val="000000"/>
                <w:sz w:val="20"/>
                <w:szCs w:val="20"/>
                <w:lang w:val="en-US" w:eastAsia="zh-CN"/>
              </w:rPr>
              <w:t>1.会引导儿童对常见的哲学问题进行思考、对话和探究</w:t>
            </w:r>
          </w:p>
        </w:tc>
        <w:tc>
          <w:tcPr>
            <w:tcW w:w="1985" w:type="dxa"/>
          </w:tcPr>
          <w:p>
            <w:pPr>
              <w:snapToGrid w:val="0"/>
              <w:spacing w:line="288" w:lineRule="auto"/>
              <w:jc w:val="center"/>
              <w:rPr>
                <w:rFonts w:hint="default" w:eastAsia="宋体"/>
                <w:color w:val="000000"/>
                <w:sz w:val="20"/>
                <w:szCs w:val="20"/>
                <w:lang w:val="en-US" w:eastAsia="zh-CN"/>
              </w:rPr>
            </w:pPr>
            <w:r>
              <w:rPr>
                <w:rFonts w:hint="eastAsia"/>
                <w:color w:val="000000"/>
                <w:sz w:val="20"/>
                <w:szCs w:val="20"/>
                <w:lang w:val="en-US" w:eastAsia="zh-CN"/>
              </w:rPr>
              <w:t>课堂讨论，实例分析</w:t>
            </w:r>
          </w:p>
        </w:tc>
        <w:tc>
          <w:tcPr>
            <w:tcW w:w="1603" w:type="dxa"/>
          </w:tcPr>
          <w:p>
            <w:pPr>
              <w:numPr>
                <w:ilvl w:val="0"/>
                <w:numId w:val="2"/>
              </w:numPr>
              <w:snapToGrid w:val="0"/>
              <w:spacing w:line="288" w:lineRule="auto"/>
              <w:rPr>
                <w:rFonts w:hint="eastAsia"/>
                <w:color w:val="000000"/>
                <w:sz w:val="20"/>
                <w:szCs w:val="20"/>
                <w:lang w:val="en-US" w:eastAsia="zh-CN"/>
              </w:rPr>
            </w:pPr>
            <w:r>
              <w:rPr>
                <w:rFonts w:hint="eastAsia"/>
                <w:color w:val="000000"/>
                <w:sz w:val="20"/>
                <w:szCs w:val="20"/>
                <w:lang w:val="en-US" w:eastAsia="zh-CN"/>
              </w:rPr>
              <w:t>期末考核</w:t>
            </w:r>
          </w:p>
          <w:p>
            <w:pPr>
              <w:numPr>
                <w:ilvl w:val="0"/>
                <w:numId w:val="2"/>
              </w:numPr>
              <w:snapToGrid w:val="0"/>
              <w:spacing w:line="288" w:lineRule="auto"/>
              <w:rPr>
                <w:rFonts w:hint="default"/>
                <w:color w:val="000000"/>
                <w:sz w:val="20"/>
                <w:szCs w:val="20"/>
                <w:lang w:val="en-US" w:eastAsia="zh-CN"/>
              </w:rPr>
            </w:pPr>
            <w:r>
              <w:rPr>
                <w:rFonts w:hint="eastAsia"/>
                <w:color w:val="000000"/>
                <w:sz w:val="20"/>
                <w:szCs w:val="20"/>
                <w:lang w:val="en-US" w:eastAsia="zh-CN"/>
              </w:rPr>
              <w:t>课堂参与</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widowControl/>
        <w:spacing w:before="156" w:beforeLines="50" w:after="156" w:afterLines="50" w:line="288"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本课程一共五章内容，二十二小节。第一章我们围绕儿童哲学的内涵、理论基础与意义进行思考与分析，简要回顾儿童哲学为什么、是什么、怎么来的以及如何做等关键性问题；第二章集中介绍全球不同国家和地区开展儿童哲学研究与实践的基本情况，以便更好的推动儿童哲学本土化的深入奠定基础；第三章我们进行国内儿童哲学的历史进程，并对其进行分析总结，为进一步发展指明方向；第四章聚焦于李普曼意义上的儿童哲学课程实践，概括了本土化过程中的一些关键经验及策略，为儿童哲学的普及提供更具体的参考建议；第五章就儿童哲学与教师教育、教师专业发展进行了讨论，这一方面的议题也属于整个中国儿童哲学研究领域中较为薄弱的一环，儿童哲学如果不研究教师，就无法了解及真正解决教师在实践过程中的问题，也就无法为儿童哲学的推广提供稳定的、高质量的师资队伍。</w:t>
      </w:r>
    </w:p>
    <w:p>
      <w:pPr>
        <w:pStyle w:val="6"/>
        <w:jc w:val="left"/>
        <w:rPr>
          <w:rFonts w:ascii="黑体" w:hAnsi="宋体" w:eastAsia="黑体"/>
          <w:sz w:val="24"/>
        </w:rPr>
      </w:pPr>
      <w:r>
        <w:rPr>
          <w:rFonts w:hint="eastAsia" w:ascii="黑体" w:hAnsi="宋体" w:eastAsia="黑体"/>
          <w:sz w:val="24"/>
          <w:lang w:val="en-US" w:eastAsia="zh-CN"/>
        </w:rPr>
        <w:t xml:space="preserve"> </w:t>
      </w:r>
      <w:r>
        <w:rPr>
          <w:rFonts w:hint="eastAsia" w:ascii="黑体" w:hAnsi="宋体" w:eastAsia="黑体"/>
          <w:sz w:val="24"/>
        </w:rPr>
        <w:t>九、评价方式与成绩</w:t>
      </w:r>
    </w:p>
    <w:p>
      <w:pPr>
        <w:rPr>
          <w:lang w:val="zh-CN"/>
        </w:rPr>
      </w:pPr>
    </w:p>
    <w:tbl>
      <w:tblPr>
        <w:tblStyle w:val="7"/>
        <w:tblpPr w:leftFromText="180" w:rightFromText="180" w:vertAnchor="text" w:horzAnchor="margin" w:tblpY="2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312" w:beforeLines="100" w:after="156" w:afterLines="50"/>
              <w:jc w:val="center"/>
              <w:rPr>
                <w:rFonts w:ascii="宋体" w:hAnsi="宋体"/>
                <w:sz w:val="20"/>
                <w:szCs w:val="20"/>
              </w:rPr>
            </w:pPr>
            <w:r>
              <w:rPr>
                <w:rFonts w:hint="eastAsia" w:ascii="宋体" w:hAnsi="宋体"/>
                <w:sz w:val="20"/>
                <w:szCs w:val="20"/>
              </w:rPr>
              <w:t>总评构成（1+</w:t>
            </w:r>
            <w:r>
              <w:rPr>
                <w:rFonts w:ascii="宋体" w:hAnsi="宋体"/>
                <w:sz w:val="20"/>
                <w:szCs w:val="20"/>
              </w:rPr>
              <w:t>X</w:t>
            </w:r>
            <w:r>
              <w:rPr>
                <w:rFonts w:hint="eastAsia" w:ascii="宋体" w:hAnsi="宋体"/>
                <w:sz w:val="20"/>
                <w:szCs w:val="20"/>
              </w:rPr>
              <w:t>）</w:t>
            </w:r>
          </w:p>
        </w:tc>
        <w:tc>
          <w:tcPr>
            <w:tcW w:w="5103" w:type="dxa"/>
          </w:tcPr>
          <w:p>
            <w:pPr>
              <w:snapToGrid w:val="0"/>
              <w:spacing w:before="312" w:beforeLines="100" w:after="156" w:afterLines="50"/>
              <w:jc w:val="center"/>
              <w:rPr>
                <w:rFonts w:ascii="宋体" w:hAnsi="宋体"/>
                <w:sz w:val="20"/>
                <w:szCs w:val="20"/>
              </w:rPr>
            </w:pPr>
            <w:r>
              <w:rPr>
                <w:rFonts w:hint="eastAsia" w:ascii="宋体" w:hAnsi="宋体"/>
                <w:sz w:val="20"/>
                <w:szCs w:val="20"/>
              </w:rPr>
              <w:t>评价方式</w:t>
            </w:r>
          </w:p>
        </w:tc>
        <w:tc>
          <w:tcPr>
            <w:tcW w:w="2127" w:type="dxa"/>
          </w:tcPr>
          <w:p>
            <w:pPr>
              <w:snapToGrid w:val="0"/>
              <w:spacing w:before="312" w:beforeLines="100" w:after="156" w:afterLines="50"/>
              <w:jc w:val="center"/>
              <w:rPr>
                <w:rFonts w:ascii="宋体" w:hAnsi="宋体"/>
                <w:sz w:val="20"/>
                <w:szCs w:val="20"/>
              </w:rPr>
            </w:pPr>
            <w:r>
              <w:rPr>
                <w:rFonts w:hint="eastAsia" w:ascii="宋体" w:hAnsi="宋体"/>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期末考试</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6</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tcPr>
          <w:p>
            <w:pPr>
              <w:snapToGrid w:val="0"/>
              <w:spacing w:before="156" w:beforeLines="50" w:after="156" w:afterLines="50"/>
              <w:jc w:val="both"/>
              <w:rPr>
                <w:rFonts w:hint="default" w:ascii="宋体" w:hAnsi="宋体" w:eastAsia="宋体"/>
                <w:bCs/>
                <w:color w:val="000000"/>
                <w:szCs w:val="20"/>
                <w:lang w:val="en-US" w:eastAsia="zh-CN"/>
              </w:rPr>
            </w:pPr>
            <w:r>
              <w:rPr>
                <w:rFonts w:hint="eastAsia" w:ascii="宋体" w:hAnsi="宋体"/>
                <w:bCs/>
                <w:color w:val="000000"/>
                <w:szCs w:val="20"/>
                <w:lang w:val="en-US" w:eastAsia="zh-CN"/>
              </w:rPr>
              <w:t xml:space="preserve">                   课堂参与</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平时</w:t>
            </w:r>
            <w:r>
              <w:rPr>
                <w:rFonts w:hint="eastAsia" w:ascii="宋体" w:hAnsi="宋体"/>
                <w:bCs/>
                <w:color w:val="000000"/>
                <w:szCs w:val="20"/>
              </w:rPr>
              <w:t>表现</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1</w:t>
            </w:r>
            <w:r>
              <w:rPr>
                <w:rFonts w:hint="eastAsia" w:ascii="宋体" w:hAnsi="宋体"/>
                <w:bCs/>
                <w:color w:val="000000"/>
                <w:szCs w:val="20"/>
              </w:rPr>
              <w:t>0%</w:t>
            </w:r>
          </w:p>
        </w:tc>
      </w:tr>
    </w:tbl>
    <w:p>
      <w:pPr>
        <w:snapToGrid w:val="0"/>
        <w:spacing w:before="120" w:after="120" w:line="288" w:lineRule="auto"/>
        <w:rPr>
          <w:rFonts w:ascii="宋体" w:hAnsi="宋体"/>
          <w:sz w:val="20"/>
          <w:szCs w:val="20"/>
          <w:highlight w:val="yellow"/>
        </w:rPr>
      </w:pPr>
    </w:p>
    <w:p>
      <w:pPr>
        <w:snapToGrid w:val="0"/>
        <w:spacing w:line="288" w:lineRule="auto"/>
        <w:ind w:firstLine="840" w:firstLineChars="300"/>
        <w:rPr>
          <w:sz w:val="28"/>
          <w:szCs w:val="28"/>
        </w:rPr>
      </w:pPr>
    </w:p>
    <w:p>
      <w:pPr>
        <w:snapToGrid w:val="0"/>
        <w:spacing w:line="288" w:lineRule="auto"/>
        <w:rPr>
          <w:sz w:val="28"/>
          <w:szCs w:val="28"/>
        </w:rPr>
      </w:pPr>
      <w:bookmarkStart w:id="1" w:name="_GoBack"/>
      <w:bookmarkEnd w:id="1"/>
      <w:r>
        <w:rPr>
          <w:rFonts w:hint="eastAsia"/>
          <w:sz w:val="28"/>
          <w:szCs w:val="28"/>
        </w:rPr>
        <w:t>撰写人：</w:t>
      </w:r>
      <w:r>
        <w:rPr>
          <w:rFonts w:hint="eastAsia"/>
          <w:sz w:val="28"/>
          <w:szCs w:val="28"/>
          <w:lang w:val="en-US" w:eastAsia="zh-CN"/>
        </w:rPr>
        <w:t>李小波</w:t>
      </w:r>
      <w:r>
        <w:rPr>
          <w:rFonts w:hint="eastAsia"/>
          <w:sz w:val="28"/>
          <w:szCs w:val="28"/>
        </w:rPr>
        <w:t xml:space="preserve">               系主任审核签名：</w:t>
      </w:r>
      <w:r>
        <w:rPr>
          <w:rFonts w:hint="eastAsia"/>
          <w:sz w:val="28"/>
          <w:szCs w:val="28"/>
          <w:lang w:val="en-US" w:eastAsia="zh-CN"/>
        </w:rPr>
        <w:t xml:space="preserve">    </w:t>
      </w:r>
      <w:r>
        <w:rPr>
          <w:rFonts w:hint="eastAsia"/>
          <w:sz w:val="28"/>
          <w:szCs w:val="28"/>
        </w:rPr>
        <w:t>审核时间：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43197C"/>
    <w:multiLevelType w:val="singleLevel"/>
    <w:tmpl w:val="4743197C"/>
    <w:lvl w:ilvl="0" w:tentative="0">
      <w:start w:val="1"/>
      <w:numFmt w:val="decimal"/>
      <w:lvlText w:val="%1."/>
      <w:lvlJc w:val="left"/>
      <w:pPr>
        <w:tabs>
          <w:tab w:val="left" w:pos="312"/>
        </w:tabs>
      </w:pPr>
    </w:lvl>
  </w:abstractNum>
  <w:abstractNum w:abstractNumId="1">
    <w:nsid w:val="4E225C95"/>
    <w:multiLevelType w:val="singleLevel"/>
    <w:tmpl w:val="4E225C9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ZWE1NDc2YjNjYTc4MWJiZjQ4MjEyNTM2YWIyNDcifQ=="/>
  </w:docVars>
  <w:rsids>
    <w:rsidRoot w:val="00B7651F"/>
    <w:rsid w:val="0007362F"/>
    <w:rsid w:val="001F4A01"/>
    <w:rsid w:val="00256B39"/>
    <w:rsid w:val="0026033C"/>
    <w:rsid w:val="002C334A"/>
    <w:rsid w:val="002E3721"/>
    <w:rsid w:val="002F1A16"/>
    <w:rsid w:val="00313BBA"/>
    <w:rsid w:val="0032602E"/>
    <w:rsid w:val="003367AE"/>
    <w:rsid w:val="004100B0"/>
    <w:rsid w:val="004857EE"/>
    <w:rsid w:val="005467DC"/>
    <w:rsid w:val="00553D03"/>
    <w:rsid w:val="005B2B6D"/>
    <w:rsid w:val="005B4B4E"/>
    <w:rsid w:val="00624FE1"/>
    <w:rsid w:val="007208D6"/>
    <w:rsid w:val="00751235"/>
    <w:rsid w:val="008B397C"/>
    <w:rsid w:val="008B47F4"/>
    <w:rsid w:val="00900019"/>
    <w:rsid w:val="0099063E"/>
    <w:rsid w:val="00B511A5"/>
    <w:rsid w:val="00B7651F"/>
    <w:rsid w:val="00BC67AB"/>
    <w:rsid w:val="00C55ACF"/>
    <w:rsid w:val="00C56E09"/>
    <w:rsid w:val="00C721FD"/>
    <w:rsid w:val="00D901E6"/>
    <w:rsid w:val="00DB591A"/>
    <w:rsid w:val="00E16D30"/>
    <w:rsid w:val="00E33169"/>
    <w:rsid w:val="00E70904"/>
    <w:rsid w:val="00EE1EFB"/>
    <w:rsid w:val="00EF44B1"/>
    <w:rsid w:val="00F35AA0"/>
    <w:rsid w:val="00F439E4"/>
    <w:rsid w:val="00FF2C61"/>
    <w:rsid w:val="01ED76DB"/>
    <w:rsid w:val="024B0C39"/>
    <w:rsid w:val="06CD4C74"/>
    <w:rsid w:val="07910517"/>
    <w:rsid w:val="089608E6"/>
    <w:rsid w:val="0AFF6219"/>
    <w:rsid w:val="0D4E62C1"/>
    <w:rsid w:val="108D560E"/>
    <w:rsid w:val="1252010C"/>
    <w:rsid w:val="150A31C0"/>
    <w:rsid w:val="15CF7134"/>
    <w:rsid w:val="16D00046"/>
    <w:rsid w:val="170C74B4"/>
    <w:rsid w:val="1E7517AA"/>
    <w:rsid w:val="22107EB6"/>
    <w:rsid w:val="236F75E8"/>
    <w:rsid w:val="24192CCC"/>
    <w:rsid w:val="2ADC117B"/>
    <w:rsid w:val="2DC74C84"/>
    <w:rsid w:val="3CD52CE1"/>
    <w:rsid w:val="3D1F7926"/>
    <w:rsid w:val="3D3C55B6"/>
    <w:rsid w:val="41736F2E"/>
    <w:rsid w:val="420469F8"/>
    <w:rsid w:val="47002E28"/>
    <w:rsid w:val="49BD1A78"/>
    <w:rsid w:val="4C653F3E"/>
    <w:rsid w:val="51D808D7"/>
    <w:rsid w:val="54875D3D"/>
    <w:rsid w:val="5762494E"/>
    <w:rsid w:val="5F460BDB"/>
    <w:rsid w:val="601A2BFE"/>
    <w:rsid w:val="66BA4938"/>
    <w:rsid w:val="68187B31"/>
    <w:rsid w:val="68E85837"/>
    <w:rsid w:val="695D5085"/>
    <w:rsid w:val="698C6E8F"/>
    <w:rsid w:val="6B1F41F1"/>
    <w:rsid w:val="6EC86481"/>
    <w:rsid w:val="6F4925E3"/>
    <w:rsid w:val="6F5042C2"/>
    <w:rsid w:val="72026576"/>
    <w:rsid w:val="73844F3C"/>
    <w:rsid w:val="773E764D"/>
    <w:rsid w:val="796D0776"/>
    <w:rsid w:val="7AF02D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semiHidden/>
    <w:uiPriority w:val="0"/>
    <w:pPr>
      <w:ind w:firstLine="420" w:firstLineChars="200"/>
    </w:pPr>
    <w:rPr>
      <w:rFonts w:eastAsia="楷体_GB2312"/>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qFormat/>
    <w:uiPriority w:val="0"/>
    <w:pPr>
      <w:spacing w:line="440" w:lineRule="exact"/>
      <w:jc w:val="center"/>
      <w:outlineLvl w:val="0"/>
    </w:pPr>
    <w:rPr>
      <w:rFonts w:ascii="Cambria" w:hAnsi="Cambria" w:eastAsiaTheme="minorEastAsia" w:cstheme="minorBidi"/>
      <w:b/>
      <w:bCs/>
      <w:sz w:val="28"/>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uiPriority w:val="99"/>
    <w:rPr>
      <w:color w:val="0000FF"/>
      <w:u w:val="single"/>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font31"/>
    <w:basedOn w:val="9"/>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446</Words>
  <Characters>2548</Characters>
  <Lines>21</Lines>
  <Paragraphs>5</Paragraphs>
  <TotalTime>10</TotalTime>
  <ScaleCrop>false</ScaleCrop>
  <LinksUpToDate>false</LinksUpToDate>
  <CharactersWithSpaces>2989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lixiaobo</cp:lastModifiedBy>
  <dcterms:modified xsi:type="dcterms:W3CDTF">2023-09-14T05:13:43Z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1175D37C75D64E21A39A820F64A2B1DA_13</vt:lpwstr>
  </property>
</Properties>
</file>