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left"/>
        <w:rPr>
          <w:rFonts w:ascii="方正小标宋简体" w:hAnsi="宋体" w:eastAsia="方正小标宋简体"/>
          <w:bCs/>
          <w:kern w:val="0"/>
          <w:sz w:val="24"/>
          <w:szCs w:val="24"/>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r>
        <w:rPr>
          <w:rFonts w:hint="eastAsia" w:ascii="方正小标宋简体" w:hAnsi="宋体"/>
          <w:bCs/>
          <w:kern w:val="0"/>
          <w:sz w:val="24"/>
          <w:szCs w:val="24"/>
        </w:rPr>
        <w:t>（</w:t>
      </w:r>
      <w:r>
        <w:rPr>
          <w:rFonts w:hint="eastAsia"/>
          <w:sz w:val="32"/>
          <w:szCs w:val="32"/>
        </w:rPr>
        <w:t>2019.9版</w:t>
      </w:r>
      <w:r>
        <w:rPr>
          <w:rFonts w:hint="eastAsia" w:ascii="方正小标宋简体" w:hAnsi="宋体"/>
          <w:bCs/>
          <w:kern w:val="0"/>
          <w:sz w:val="24"/>
          <w:szCs w:val="24"/>
        </w:rPr>
        <w:t>）</w:t>
      </w:r>
    </w:p>
    <w:p>
      <w:pPr>
        <w:spacing w:line="300" w:lineRule="auto"/>
        <w:jc w:val="center"/>
        <w:rPr>
          <w:b/>
          <w:sz w:val="28"/>
          <w:szCs w:val="30"/>
        </w:rPr>
      </w:pPr>
      <w:r>
        <w:rPr>
          <w:rFonts w:hint="eastAsia"/>
          <w:b/>
          <w:sz w:val="28"/>
          <w:szCs w:val="30"/>
        </w:rPr>
        <w:t>【职业发展】</w:t>
      </w:r>
    </w:p>
    <w:p>
      <w:pPr>
        <w:shd w:val="clear" w:color="auto" w:fill="F5F5F5"/>
        <w:spacing w:line="300" w:lineRule="auto"/>
        <w:jc w:val="center"/>
        <w:textAlignment w:val="top"/>
        <w:rPr>
          <w:rFonts w:ascii="Arial" w:hAnsi="Arial" w:cs="Arial"/>
          <w:color w:val="888888"/>
          <w:kern w:val="0"/>
          <w:sz w:val="20"/>
          <w:szCs w:val="20"/>
        </w:rPr>
      </w:pPr>
      <w:r>
        <w:rPr>
          <w:rFonts w:hint="eastAsia"/>
          <w:b/>
          <w:sz w:val="28"/>
          <w:szCs w:val="30"/>
        </w:rPr>
        <w:t>【Career</w:t>
      </w:r>
      <w:r>
        <w:rPr>
          <w:b/>
          <w:sz w:val="28"/>
          <w:szCs w:val="30"/>
        </w:rPr>
        <w:t xml:space="preserve"> development</w:t>
      </w:r>
      <w:r>
        <w:rPr>
          <w:rFonts w:hint="eastAsia"/>
          <w:b/>
          <w:sz w:val="28"/>
          <w:szCs w:val="30"/>
        </w:rPr>
        <w:t>】</w:t>
      </w:r>
      <w:bookmarkStart w:id="0" w:name="a2"/>
      <w:bookmarkEnd w:id="0"/>
    </w:p>
    <w:p>
      <w:pPr>
        <w:spacing w:before="156" w:beforeLines="50" w:after="156" w:afterLines="50" w:line="300"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300"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119013】</w:t>
      </w:r>
    </w:p>
    <w:p>
      <w:pPr>
        <w:snapToGrid w:val="0"/>
        <w:spacing w:line="300"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1学分</w:t>
      </w:r>
      <w:r>
        <w:rPr>
          <w:color w:val="000000"/>
          <w:sz w:val="20"/>
          <w:szCs w:val="20"/>
        </w:rPr>
        <w:t>】</w:t>
      </w:r>
    </w:p>
    <w:p>
      <w:pPr>
        <w:snapToGrid w:val="0"/>
        <w:spacing w:line="300" w:lineRule="auto"/>
        <w:ind w:firstLine="394" w:firstLineChars="196"/>
        <w:rPr>
          <w:color w:val="000000"/>
          <w:szCs w:val="21"/>
        </w:rPr>
      </w:pPr>
      <w:r>
        <w:rPr>
          <w:b/>
          <w:bCs/>
          <w:color w:val="000000"/>
          <w:sz w:val="20"/>
          <w:szCs w:val="20"/>
        </w:rPr>
        <w:t>面向专业：</w:t>
      </w:r>
      <w:r>
        <w:rPr>
          <w:color w:val="000000"/>
          <w:sz w:val="20"/>
          <w:szCs w:val="20"/>
        </w:rPr>
        <w:t>【全校各系各专业全体大一学生】</w:t>
      </w:r>
    </w:p>
    <w:p>
      <w:pPr>
        <w:snapToGrid w:val="0"/>
        <w:spacing w:line="300"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300" w:lineRule="auto"/>
        <w:ind w:firstLine="394" w:firstLineChars="196"/>
        <w:rPr>
          <w:b/>
          <w:bCs/>
          <w:color w:val="000000"/>
          <w:szCs w:val="21"/>
        </w:rPr>
      </w:pPr>
      <w:r>
        <w:rPr>
          <w:b/>
          <w:bCs/>
          <w:color w:val="000000"/>
          <w:sz w:val="20"/>
          <w:szCs w:val="20"/>
        </w:rPr>
        <w:t>开课院系：</w:t>
      </w:r>
      <w:r>
        <w:rPr>
          <w:rFonts w:hint="eastAsia"/>
          <w:color w:val="000000"/>
          <w:sz w:val="20"/>
          <w:szCs w:val="20"/>
        </w:rPr>
        <w:t>就业办</w:t>
      </w:r>
    </w:p>
    <w:p>
      <w:pPr>
        <w:snapToGrid w:val="0"/>
        <w:spacing w:line="300" w:lineRule="auto"/>
        <w:ind w:firstLine="394" w:firstLineChars="196"/>
        <w:rPr>
          <w:color w:val="000000"/>
          <w:sz w:val="20"/>
          <w:szCs w:val="20"/>
        </w:rPr>
      </w:pPr>
      <w:r>
        <w:rPr>
          <w:b/>
          <w:bCs/>
          <w:color w:val="000000"/>
          <w:sz w:val="20"/>
          <w:szCs w:val="20"/>
        </w:rPr>
        <w:t>使用教材：</w:t>
      </w:r>
    </w:p>
    <w:p>
      <w:pPr>
        <w:snapToGrid w:val="0"/>
        <w:spacing w:line="300" w:lineRule="auto"/>
        <w:ind w:firstLine="792" w:firstLineChars="396"/>
        <w:rPr>
          <w:color w:val="000000"/>
          <w:sz w:val="20"/>
          <w:szCs w:val="20"/>
        </w:rPr>
      </w:pPr>
      <w:r>
        <w:rPr>
          <w:rFonts w:hint="eastAsia"/>
          <w:color w:val="000000"/>
          <w:sz w:val="20"/>
          <w:szCs w:val="20"/>
        </w:rPr>
        <w:t>夏雨 陈伟 王苇主编【点亮未来——大学生职业生涯发展与规划】上海交通大学出版社</w:t>
      </w:r>
    </w:p>
    <w:p>
      <w:pPr>
        <w:snapToGrid w:val="0"/>
        <w:spacing w:line="300" w:lineRule="auto"/>
        <w:ind w:firstLine="792" w:firstLineChars="396"/>
        <w:rPr>
          <w:color w:val="000000"/>
          <w:sz w:val="20"/>
          <w:szCs w:val="20"/>
        </w:rPr>
      </w:pPr>
      <w:r>
        <w:rPr>
          <w:color w:val="000000"/>
          <w:sz w:val="20"/>
          <w:szCs w:val="20"/>
        </w:rPr>
        <w:t>参考书目</w:t>
      </w:r>
      <w:r>
        <w:rPr>
          <w:rFonts w:hint="eastAsia"/>
          <w:color w:val="000000"/>
          <w:sz w:val="20"/>
          <w:szCs w:val="20"/>
        </w:rPr>
        <w:t>：</w:t>
      </w:r>
    </w:p>
    <w:p>
      <w:pPr>
        <w:snapToGrid w:val="0"/>
        <w:spacing w:line="300" w:lineRule="auto"/>
        <w:ind w:firstLine="831" w:firstLineChars="396"/>
        <w:rPr>
          <w:color w:val="000000"/>
          <w:szCs w:val="21"/>
        </w:rPr>
      </w:pPr>
      <w:r>
        <w:rPr>
          <w:rFonts w:hint="eastAsia"/>
          <w:color w:val="000000"/>
          <w:szCs w:val="21"/>
        </w:rPr>
        <w:t>1.候士兵 杨薛雯《职业生涯发展与规划》上海交通大学出版社,2018</w:t>
      </w:r>
    </w:p>
    <w:p>
      <w:pPr>
        <w:snapToGrid w:val="0"/>
        <w:spacing w:line="300" w:lineRule="auto"/>
        <w:ind w:firstLine="831" w:firstLineChars="396"/>
        <w:rPr>
          <w:color w:val="000000"/>
          <w:szCs w:val="21"/>
        </w:rPr>
      </w:pPr>
      <w:r>
        <w:rPr>
          <w:rFonts w:hint="eastAsia"/>
          <w:color w:val="000000"/>
          <w:szCs w:val="21"/>
        </w:rPr>
        <w:t>2.曹荣瑞《大学生职业发展与就业指导》上海锦绣文章出版社,2012</w:t>
      </w:r>
    </w:p>
    <w:p>
      <w:pPr>
        <w:snapToGrid w:val="0"/>
        <w:spacing w:line="300" w:lineRule="auto"/>
        <w:ind w:firstLine="831" w:firstLineChars="396"/>
        <w:rPr>
          <w:color w:val="000000"/>
          <w:szCs w:val="21"/>
        </w:rPr>
      </w:pPr>
      <w:r>
        <w:rPr>
          <w:rFonts w:hint="eastAsia"/>
          <w:color w:val="000000"/>
          <w:szCs w:val="21"/>
        </w:rPr>
        <w:t>3..黄晞建 夏伯平《大学生职业生涯规划训练教程》现代教育出版社，2010.9</w:t>
      </w:r>
    </w:p>
    <w:p>
      <w:pPr>
        <w:snapToGrid w:val="0"/>
        <w:spacing w:line="300" w:lineRule="auto"/>
        <w:ind w:firstLine="831" w:firstLineChars="396"/>
        <w:rPr>
          <w:color w:val="000000"/>
          <w:szCs w:val="21"/>
        </w:rPr>
      </w:pPr>
      <w:r>
        <w:rPr>
          <w:rFonts w:hint="eastAsia"/>
          <w:color w:val="000000"/>
          <w:szCs w:val="21"/>
        </w:rPr>
        <w:t>4.王占军《大学职业生涯规划咨询案例精编》华东师范大学出版社，2017</w:t>
      </w:r>
    </w:p>
    <w:p>
      <w:pPr>
        <w:snapToGrid w:val="0"/>
        <w:spacing w:line="300" w:lineRule="auto"/>
        <w:ind w:firstLine="831" w:firstLineChars="396"/>
        <w:rPr>
          <w:color w:val="000000"/>
          <w:szCs w:val="21"/>
        </w:rPr>
      </w:pPr>
      <w:r>
        <w:rPr>
          <w:rFonts w:hint="eastAsia"/>
          <w:color w:val="000000"/>
          <w:szCs w:val="21"/>
        </w:rPr>
        <w:t>课程网站网址：</w:t>
      </w:r>
      <w:r>
        <w:fldChar w:fldCharType="begin"/>
      </w:r>
      <w:r>
        <w:instrText xml:space="preserve"> HYPERLINK "http://career.gench.edu.cn" </w:instrText>
      </w:r>
      <w:r>
        <w:fldChar w:fldCharType="separate"/>
      </w:r>
      <w:r>
        <w:rPr>
          <w:rStyle w:val="8"/>
          <w:rFonts w:hint="eastAsia"/>
          <w:szCs w:val="21"/>
        </w:rPr>
        <w:t>http://career.gench.edu.cn</w:t>
      </w:r>
      <w:r>
        <w:rPr>
          <w:rStyle w:val="8"/>
          <w:rFonts w:hint="eastAsia"/>
          <w:szCs w:val="21"/>
        </w:rPr>
        <w:fldChar w:fldCharType="end"/>
      </w:r>
    </w:p>
    <w:p>
      <w:pPr>
        <w:spacing w:before="156" w:beforeLines="50" w:after="156" w:afterLines="50" w:line="300" w:lineRule="auto"/>
        <w:ind w:firstLine="360" w:firstLineChars="150"/>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为满足大学生在职业意识、职业生涯规划知识与能力、创业知识与能力就业技能等方面普遍存在的缺失或不足而产生的实际需求，根据教育部教高厅〔2007〕7号关于印发《大学生职业发展与就业指导课程教学要求》的通知和教育部2012年《普通本科学校创业教育教学基本要求（试行）》精神，结合我校2012年2月开始在全校开设了《大学生职业发展与就业指导》课的实践经验，根据当前我校卓越建桥计划，着力培养学生表达沟通、自主学习、专业能力、尽责抗压、协同创新、信息应用、服务关爱、国际视野等八项能力，尤其是培养就业竞争力的要求，按照成果导向的新思路，修订编写本《教学大纲》。</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本课程从自我认识入手，引导学生科学的认识自己的职业兴趣、职业性格、职业价值观、职业技能等特征，并对所学专业的职业范围有所初探。</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本课程坚持以人为本的原则，以提升学生综合素质和就业能力为基本要求，实行全程指导。授课以课堂教学为主，采取教学与训练相结合的方式，运用课堂讲授，典型案例分析、情景模拟训练、社会调查等方式，优化教学内容和教学过程，学以致用，讲求实效。采取理论联系实际的教学方式，紧密结合社会现实，联系不同专业的学科特点，激发学生的学习自主性和能动性，从而合理规划大学四年生活。本课程教学特别强调课堂师生互动和学生实践环节，及时有效地发掘学生的积极参与意识和团队合作能力，参与职业生涯人物访谈、吉讯测评等环节，合理制订《大学生职业生涯规划书》。</w:t>
      </w:r>
    </w:p>
    <w:p>
      <w:pPr>
        <w:spacing w:before="156" w:beforeLines="50" w:after="156" w:afterLines="50" w:line="300" w:lineRule="auto"/>
        <w:ind w:firstLine="360" w:firstLineChars="150"/>
        <w:rPr>
          <w:rFonts w:ascii="黑体" w:hAnsi="宋体" w:eastAsia="黑体"/>
          <w:sz w:val="24"/>
        </w:rPr>
      </w:pPr>
    </w:p>
    <w:p>
      <w:pPr>
        <w:spacing w:before="156" w:beforeLines="50" w:after="156" w:afterLines="50" w:line="300"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全校各学院各系一年级学生，都需要修学这门课程。</w:t>
      </w:r>
    </w:p>
    <w:p>
      <w:pPr>
        <w:snapToGrid w:val="0"/>
        <w:spacing w:line="300" w:lineRule="auto"/>
        <w:ind w:firstLine="400" w:firstLineChars="200"/>
        <w:rPr>
          <w:rFonts w:ascii="宋体" w:hAnsi="宋体" w:cs="宋体"/>
          <w:color w:val="000000"/>
          <w:sz w:val="20"/>
          <w:szCs w:val="20"/>
        </w:rPr>
      </w:pPr>
    </w:p>
    <w:p>
      <w:pPr>
        <w:spacing w:before="156" w:beforeLines="50" w:after="156" w:afterLines="50" w:line="300" w:lineRule="auto"/>
        <w:ind w:firstLine="360" w:firstLineChars="15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序号</w:t>
            </w:r>
          </w:p>
        </w:tc>
        <w:tc>
          <w:tcPr>
            <w:tcW w:w="1175"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课程预期</w:t>
            </w:r>
          </w:p>
          <w:p>
            <w:pPr>
              <w:snapToGrid w:val="0"/>
              <w:spacing w:line="300" w:lineRule="auto"/>
              <w:jc w:val="center"/>
              <w:rPr>
                <w:b/>
                <w:color w:val="000000"/>
                <w:sz w:val="15"/>
                <w:szCs w:val="15"/>
              </w:rPr>
            </w:pPr>
            <w:r>
              <w:rPr>
                <w:rFonts w:hint="eastAsia"/>
                <w:b/>
                <w:color w:val="000000"/>
                <w:sz w:val="15"/>
                <w:szCs w:val="15"/>
              </w:rPr>
              <w:t>学习成果</w:t>
            </w:r>
          </w:p>
        </w:tc>
        <w:tc>
          <w:tcPr>
            <w:tcW w:w="2470"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课程目标</w:t>
            </w:r>
          </w:p>
          <w:p>
            <w:pPr>
              <w:snapToGrid w:val="0"/>
              <w:spacing w:line="300" w:lineRule="auto"/>
              <w:jc w:val="center"/>
              <w:rPr>
                <w:b/>
                <w:color w:val="000000"/>
                <w:sz w:val="15"/>
                <w:szCs w:val="15"/>
              </w:rPr>
            </w:pPr>
            <w:r>
              <w:rPr>
                <w:rFonts w:hint="eastAsia"/>
                <w:b/>
                <w:color w:val="000000"/>
                <w:sz w:val="15"/>
                <w:szCs w:val="15"/>
              </w:rPr>
              <w:t>（细化的预期学习成果）</w:t>
            </w:r>
          </w:p>
        </w:tc>
        <w:tc>
          <w:tcPr>
            <w:tcW w:w="2199"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教与学方式</w:t>
            </w:r>
          </w:p>
        </w:tc>
        <w:tc>
          <w:tcPr>
            <w:tcW w:w="1276"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spacing w:line="300" w:lineRule="auto"/>
              <w:rPr>
                <w:rFonts w:ascii="仿宋" w:hAnsi="仿宋" w:eastAsia="仿宋" w:cs="宋体"/>
                <w:color w:val="000000"/>
                <w:kern w:val="0"/>
                <w:sz w:val="20"/>
                <w:szCs w:val="18"/>
              </w:rPr>
            </w:pPr>
            <w:r>
              <w:rPr>
                <w:rFonts w:hint="eastAsia" w:ascii="仿宋" w:hAnsi="仿宋" w:eastAsia="仿宋" w:cs="宋体"/>
                <w:color w:val="000000"/>
                <w:kern w:val="0"/>
                <w:sz w:val="20"/>
                <w:szCs w:val="20"/>
              </w:rPr>
              <w:t>1</w:t>
            </w:r>
          </w:p>
        </w:tc>
        <w:tc>
          <w:tcPr>
            <w:tcW w:w="1175" w:type="dxa"/>
            <w:vMerge w:val="restart"/>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LO311</w:t>
            </w: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1.专业能力</w:t>
            </w:r>
          </w:p>
        </w:tc>
        <w:tc>
          <w:tcPr>
            <w:tcW w:w="2199" w:type="dxa"/>
            <w:vMerge w:val="restart"/>
            <w:shd w:val="clear" w:color="auto" w:fill="auto"/>
            <w:vAlign w:val="center"/>
          </w:tcPr>
          <w:p>
            <w:pPr>
              <w:snapToGrid w:val="0"/>
              <w:spacing w:line="300" w:lineRule="auto"/>
              <w:jc w:val="center"/>
              <w:rPr>
                <w:rFonts w:ascii="宋体" w:hAnsi="宋体" w:cs="宋体"/>
                <w:color w:val="000000"/>
                <w:sz w:val="20"/>
                <w:szCs w:val="20"/>
              </w:rPr>
            </w:pPr>
            <w:r>
              <w:rPr>
                <w:rFonts w:hint="eastAsia" w:ascii="宋体" w:hAnsi="宋体" w:cs="宋体"/>
                <w:color w:val="000000"/>
                <w:sz w:val="20"/>
                <w:szCs w:val="20"/>
              </w:rPr>
              <w:t>讲授、自学、讨论、小组分享、课堂实践等</w:t>
            </w:r>
          </w:p>
        </w:tc>
        <w:tc>
          <w:tcPr>
            <w:tcW w:w="1276" w:type="dxa"/>
            <w:vMerge w:val="restart"/>
            <w:shd w:val="clear" w:color="auto" w:fill="auto"/>
            <w:vAlign w:val="center"/>
          </w:tcPr>
          <w:p>
            <w:pPr>
              <w:snapToGrid w:val="0"/>
              <w:spacing w:line="300" w:lineRule="auto"/>
              <w:jc w:val="center"/>
              <w:rPr>
                <w:rFonts w:ascii="宋体" w:hAnsi="宋体" w:cs="宋体"/>
                <w:sz w:val="20"/>
                <w:szCs w:val="20"/>
              </w:rPr>
            </w:pPr>
            <w:r>
              <w:rPr>
                <w:rFonts w:hint="eastAsia" w:ascii="宋体" w:hAnsi="宋体" w:cs="宋体"/>
                <w:sz w:val="20"/>
                <w:szCs w:val="20"/>
              </w:rPr>
              <w:t>职业规划书中列举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vAlign w:val="center"/>
          </w:tcPr>
          <w:p>
            <w:pPr>
              <w:spacing w:line="300" w:lineRule="auto"/>
              <w:rPr>
                <w:rFonts w:ascii="仿宋" w:hAnsi="仿宋" w:eastAsia="仿宋" w:cs="宋体"/>
                <w:color w:val="000000"/>
                <w:kern w:val="0"/>
                <w:sz w:val="20"/>
                <w:szCs w:val="18"/>
              </w:rPr>
            </w:pPr>
          </w:p>
        </w:tc>
        <w:tc>
          <w:tcPr>
            <w:tcW w:w="1175" w:type="dxa"/>
            <w:vMerge w:val="continue"/>
            <w:shd w:val="clear" w:color="auto" w:fill="auto"/>
            <w:vAlign w:val="center"/>
          </w:tcPr>
          <w:p>
            <w:pPr>
              <w:spacing w:line="300" w:lineRule="auto"/>
              <w:rPr>
                <w:rFonts w:ascii="宋体" w:hAnsi="宋体" w:cs="宋体"/>
                <w:color w:val="000000"/>
                <w:kern w:val="0"/>
                <w:sz w:val="20"/>
                <w:szCs w:val="20"/>
              </w:rPr>
            </w:pP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2.具备专业知识</w:t>
            </w:r>
          </w:p>
        </w:tc>
        <w:tc>
          <w:tcPr>
            <w:tcW w:w="2199" w:type="dxa"/>
            <w:vMerge w:val="continue"/>
            <w:shd w:val="clear" w:color="auto" w:fill="auto"/>
            <w:vAlign w:val="center"/>
          </w:tcPr>
          <w:p>
            <w:pPr>
              <w:snapToGrid w:val="0"/>
              <w:spacing w:line="300" w:lineRule="auto"/>
              <w:jc w:val="center"/>
              <w:rPr>
                <w:rFonts w:ascii="宋体" w:hAnsi="宋体" w:cs="宋体"/>
                <w:color w:val="000000"/>
                <w:sz w:val="20"/>
                <w:szCs w:val="20"/>
              </w:rPr>
            </w:pPr>
          </w:p>
        </w:tc>
        <w:tc>
          <w:tcPr>
            <w:tcW w:w="1276" w:type="dxa"/>
            <w:vMerge w:val="continue"/>
            <w:shd w:val="clear" w:color="auto" w:fill="auto"/>
            <w:vAlign w:val="center"/>
          </w:tcPr>
          <w:p>
            <w:pPr>
              <w:snapToGrid w:val="0"/>
              <w:spacing w:line="30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vAlign w:val="center"/>
          </w:tcPr>
          <w:p>
            <w:pPr>
              <w:spacing w:line="300" w:lineRule="auto"/>
              <w:rPr>
                <w:rFonts w:ascii="仿宋" w:hAnsi="仿宋" w:eastAsia="仿宋" w:cs="宋体"/>
                <w:color w:val="000000"/>
                <w:kern w:val="0"/>
                <w:sz w:val="20"/>
                <w:szCs w:val="18"/>
              </w:rPr>
            </w:pPr>
          </w:p>
        </w:tc>
        <w:tc>
          <w:tcPr>
            <w:tcW w:w="1175" w:type="dxa"/>
            <w:vMerge w:val="continue"/>
            <w:shd w:val="clear" w:color="auto" w:fill="auto"/>
            <w:vAlign w:val="center"/>
          </w:tcPr>
          <w:p>
            <w:pPr>
              <w:spacing w:line="300" w:lineRule="auto"/>
              <w:rPr>
                <w:rFonts w:ascii="宋体" w:hAnsi="宋体" w:cs="宋体"/>
                <w:color w:val="000000"/>
                <w:kern w:val="0"/>
                <w:sz w:val="20"/>
                <w:szCs w:val="20"/>
              </w:rPr>
            </w:pP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3.具备相适应的知识</w:t>
            </w:r>
          </w:p>
        </w:tc>
        <w:tc>
          <w:tcPr>
            <w:tcW w:w="2199" w:type="dxa"/>
            <w:vMerge w:val="continue"/>
            <w:shd w:val="clear" w:color="auto" w:fill="auto"/>
            <w:vAlign w:val="center"/>
          </w:tcPr>
          <w:p>
            <w:pPr>
              <w:snapToGrid w:val="0"/>
              <w:spacing w:line="300" w:lineRule="auto"/>
              <w:jc w:val="center"/>
              <w:rPr>
                <w:rFonts w:ascii="宋体" w:hAnsi="宋体" w:cs="宋体"/>
                <w:sz w:val="20"/>
                <w:szCs w:val="20"/>
              </w:rPr>
            </w:pPr>
          </w:p>
        </w:tc>
        <w:tc>
          <w:tcPr>
            <w:tcW w:w="1276" w:type="dxa"/>
            <w:vMerge w:val="continue"/>
            <w:shd w:val="clear" w:color="auto" w:fill="auto"/>
            <w:vAlign w:val="center"/>
          </w:tcPr>
          <w:p>
            <w:pPr>
              <w:snapToGrid w:val="0"/>
              <w:spacing w:line="30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spacing w:line="300" w:lineRule="auto"/>
              <w:rPr>
                <w:rFonts w:ascii="仿宋" w:hAnsi="仿宋" w:eastAsia="仿宋" w:cs="宋体"/>
                <w:color w:val="000000"/>
                <w:kern w:val="0"/>
                <w:sz w:val="20"/>
                <w:szCs w:val="18"/>
              </w:rPr>
            </w:pPr>
            <w:r>
              <w:rPr>
                <w:rFonts w:hint="eastAsia" w:ascii="仿宋" w:hAnsi="仿宋" w:eastAsia="仿宋" w:cs="宋体"/>
                <w:color w:val="000000"/>
                <w:kern w:val="0"/>
                <w:sz w:val="20"/>
                <w:szCs w:val="20"/>
              </w:rPr>
              <w:t>2</w:t>
            </w:r>
          </w:p>
        </w:tc>
        <w:tc>
          <w:tcPr>
            <w:tcW w:w="1175" w:type="dxa"/>
            <w:vMerge w:val="restart"/>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LO711</w:t>
            </w: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1.服务关爱</w:t>
            </w:r>
          </w:p>
        </w:tc>
        <w:tc>
          <w:tcPr>
            <w:tcW w:w="2199" w:type="dxa"/>
            <w:vMerge w:val="restart"/>
            <w:shd w:val="clear" w:color="auto" w:fill="auto"/>
            <w:vAlign w:val="center"/>
          </w:tcPr>
          <w:p>
            <w:pPr>
              <w:snapToGrid w:val="0"/>
              <w:spacing w:line="300" w:lineRule="auto"/>
              <w:jc w:val="center"/>
              <w:rPr>
                <w:rFonts w:ascii="宋体" w:hAnsi="宋体" w:cs="宋体"/>
                <w:color w:val="000000"/>
                <w:sz w:val="20"/>
                <w:szCs w:val="20"/>
              </w:rPr>
            </w:pPr>
            <w:r>
              <w:rPr>
                <w:rFonts w:hint="eastAsia" w:ascii="宋体" w:hAnsi="宋体" w:cs="宋体"/>
                <w:color w:val="000000"/>
                <w:sz w:val="20"/>
                <w:szCs w:val="20"/>
              </w:rPr>
              <w:t>课堂引导，训练培养，实践体验</w:t>
            </w:r>
          </w:p>
        </w:tc>
        <w:tc>
          <w:tcPr>
            <w:tcW w:w="1276" w:type="dxa"/>
            <w:vMerge w:val="restart"/>
            <w:shd w:val="clear" w:color="auto" w:fill="auto"/>
            <w:vAlign w:val="center"/>
          </w:tcPr>
          <w:p>
            <w:pPr>
              <w:snapToGrid w:val="0"/>
              <w:spacing w:line="300" w:lineRule="auto"/>
              <w:jc w:val="center"/>
              <w:rPr>
                <w:rFonts w:ascii="宋体" w:hAnsi="宋体" w:cs="宋体"/>
                <w:sz w:val="20"/>
                <w:szCs w:val="20"/>
              </w:rPr>
            </w:pPr>
            <w:r>
              <w:rPr>
                <w:rFonts w:hint="eastAsia" w:ascii="宋体" w:hAnsi="宋体" w:cs="宋体"/>
                <w:sz w:val="20"/>
                <w:szCs w:val="20"/>
              </w:rPr>
              <w:t>课堂展示时间考察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tcPr>
          <w:p>
            <w:pPr>
              <w:spacing w:line="300" w:lineRule="auto"/>
              <w:rPr>
                <w:rFonts w:ascii="仿宋" w:hAnsi="仿宋" w:eastAsia="仿宋" w:cs="宋体"/>
                <w:color w:val="000000"/>
                <w:kern w:val="0"/>
                <w:sz w:val="20"/>
                <w:szCs w:val="18"/>
              </w:rPr>
            </w:pPr>
          </w:p>
        </w:tc>
        <w:tc>
          <w:tcPr>
            <w:tcW w:w="1175" w:type="dxa"/>
            <w:vMerge w:val="continue"/>
            <w:shd w:val="clear" w:color="auto" w:fill="auto"/>
          </w:tcPr>
          <w:p>
            <w:pPr>
              <w:spacing w:line="300" w:lineRule="auto"/>
              <w:rPr>
                <w:rFonts w:ascii="仿宋" w:hAnsi="仿宋" w:eastAsia="仿宋" w:cs="宋体"/>
                <w:color w:val="000000"/>
                <w:kern w:val="0"/>
                <w:sz w:val="20"/>
                <w:szCs w:val="18"/>
              </w:rPr>
            </w:pPr>
          </w:p>
        </w:tc>
        <w:tc>
          <w:tcPr>
            <w:tcW w:w="2470" w:type="dxa"/>
            <w:shd w:val="clear" w:color="auto" w:fill="auto"/>
            <w:vAlign w:val="center"/>
          </w:tcPr>
          <w:p>
            <w:pPr>
              <w:spacing w:line="300" w:lineRule="auto"/>
              <w:rPr>
                <w:rFonts w:ascii="仿宋" w:hAnsi="仿宋" w:eastAsia="仿宋" w:cs="宋体"/>
                <w:color w:val="000000"/>
                <w:kern w:val="0"/>
                <w:sz w:val="20"/>
                <w:szCs w:val="18"/>
              </w:rPr>
            </w:pPr>
            <w:r>
              <w:rPr>
                <w:rFonts w:hint="eastAsia" w:ascii="宋体" w:hAnsi="宋体" w:cs="宋体"/>
                <w:color w:val="000000"/>
                <w:kern w:val="0"/>
                <w:sz w:val="20"/>
                <w:szCs w:val="20"/>
              </w:rPr>
              <w:t>2.热心工作</w:t>
            </w:r>
          </w:p>
        </w:tc>
        <w:tc>
          <w:tcPr>
            <w:tcW w:w="2199" w:type="dxa"/>
            <w:vMerge w:val="continue"/>
            <w:shd w:val="clear" w:color="auto" w:fill="auto"/>
          </w:tcPr>
          <w:p>
            <w:pPr>
              <w:snapToGrid w:val="0"/>
              <w:spacing w:line="300" w:lineRule="auto"/>
              <w:jc w:val="center"/>
              <w:rPr>
                <w:rFonts w:ascii="黑体" w:hAnsi="宋体" w:eastAsia="黑体"/>
                <w:sz w:val="20"/>
                <w:szCs w:val="18"/>
              </w:rPr>
            </w:pPr>
          </w:p>
        </w:tc>
        <w:tc>
          <w:tcPr>
            <w:tcW w:w="1276" w:type="dxa"/>
            <w:vMerge w:val="continue"/>
            <w:shd w:val="clear" w:color="auto" w:fill="auto"/>
          </w:tcPr>
          <w:p>
            <w:pPr>
              <w:snapToGrid w:val="0"/>
              <w:spacing w:line="300" w:lineRule="auto"/>
              <w:jc w:val="center"/>
              <w:rPr>
                <w:rFonts w:ascii="黑体" w:hAnsi="宋体" w:eastAsia="黑体"/>
                <w:sz w:val="20"/>
                <w:szCs w:val="18"/>
              </w:rPr>
            </w:pPr>
          </w:p>
        </w:tc>
      </w:tr>
    </w:tbl>
    <w:p>
      <w:pPr>
        <w:snapToGrid w:val="0"/>
        <w:spacing w:line="300" w:lineRule="auto"/>
        <w:rPr>
          <w:rFonts w:ascii="黑体" w:hAnsi="宋体" w:eastAsia="黑体"/>
          <w:sz w:val="24"/>
        </w:rPr>
      </w:pPr>
    </w:p>
    <w:p>
      <w:pPr>
        <w:spacing w:before="156" w:beforeLines="50" w:after="156" w:afterLines="50" w:line="300" w:lineRule="auto"/>
        <w:ind w:firstLine="360" w:firstLineChars="150"/>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p>
      <w:pPr>
        <w:snapToGrid w:val="0"/>
        <w:spacing w:line="300" w:lineRule="auto"/>
        <w:ind w:firstLine="400" w:firstLineChars="200"/>
        <w:rPr>
          <w:rFonts w:ascii="宋体" w:hAnsi="宋体"/>
          <w:sz w:val="20"/>
          <w:szCs w:val="20"/>
        </w:rPr>
      </w:pPr>
      <w:r>
        <w:rPr>
          <w:rFonts w:hint="eastAsia" w:ascii="宋体" w:hAnsi="宋体" w:cs="宋体"/>
          <w:color w:val="000000"/>
          <w:sz w:val="20"/>
          <w:szCs w:val="20"/>
        </w:rPr>
        <w:t>此处分单元列出教学的知识点和能力要求。知识点用布鲁姆认知能力</w:t>
      </w:r>
      <w:r>
        <w:rPr>
          <w:rFonts w:hint="eastAsia" w:ascii="宋体" w:hAnsi="宋体"/>
          <w:sz w:val="20"/>
          <w:szCs w:val="20"/>
        </w:rPr>
        <w:t>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napToGrid w:val="0"/>
        <w:spacing w:line="300" w:lineRule="auto"/>
        <w:ind w:firstLine="400" w:firstLineChars="200"/>
        <w:rPr>
          <w:rFonts w:ascii="宋体" w:hAnsi="宋体"/>
          <w:sz w:val="20"/>
          <w:szCs w:val="20"/>
        </w:rPr>
      </w:pPr>
    </w:p>
    <w:p>
      <w:pPr>
        <w:numPr>
          <w:ilvl w:val="0"/>
          <w:numId w:val="1"/>
        </w:numPr>
        <w:snapToGrid w:val="0"/>
        <w:spacing w:line="300" w:lineRule="auto"/>
        <w:jc w:val="center"/>
        <w:rPr>
          <w:b/>
          <w:szCs w:val="21"/>
        </w:rPr>
      </w:pPr>
      <w:r>
        <w:rPr>
          <w:rFonts w:hint="eastAsia"/>
          <w:b/>
          <w:szCs w:val="21"/>
        </w:rPr>
        <w:t>认识大学生活（2学时）</w:t>
      </w:r>
    </w:p>
    <w:p>
      <w:pPr>
        <w:snapToGrid w:val="0"/>
        <w:spacing w:line="300" w:lineRule="auto"/>
        <w:rPr>
          <w:b/>
          <w:szCs w:val="21"/>
        </w:rPr>
      </w:pPr>
      <w:r>
        <w:rPr>
          <w:rFonts w:hint="eastAsia"/>
          <w:b/>
          <w:szCs w:val="21"/>
        </w:rPr>
        <w:t>教学目的：</w:t>
      </w:r>
    </w:p>
    <w:p>
      <w:pPr>
        <w:snapToGrid w:val="0"/>
        <w:spacing w:line="300" w:lineRule="auto"/>
        <w:ind w:firstLine="400" w:firstLineChars="200"/>
        <w:rPr>
          <w:szCs w:val="21"/>
        </w:rPr>
      </w:pPr>
      <w:r>
        <w:rPr>
          <w:rFonts w:hint="eastAsia" w:ascii="宋体" w:hAnsi="宋体" w:cs="宋体"/>
          <w:color w:val="000000"/>
          <w:sz w:val="20"/>
          <w:szCs w:val="20"/>
        </w:rPr>
        <w:t>通过深入探索大学、学会自我管理、正确规划学业发展，激发大学生关注自身的职业发展和专业发展，了解所学专业的发展前景，明确大学所学专业与未来职业生涯的关系。</w:t>
      </w:r>
    </w:p>
    <w:p>
      <w:pPr>
        <w:snapToGrid w:val="0"/>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1.大学之大、大学之新、大学资源</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2.学习管理、时间管理、人际管理、情绪管理</w:t>
      </w:r>
      <w:r>
        <w:rPr>
          <w:rFonts w:hint="eastAsia" w:ascii="宋体" w:hAnsi="宋体" w:cs="宋体"/>
          <w:b/>
          <w:bCs/>
          <w:color w:val="000000"/>
          <w:sz w:val="20"/>
          <w:szCs w:val="20"/>
        </w:rPr>
        <w:t>（运用）</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3.树立正确的学业观、制定学业规划</w:t>
      </w:r>
      <w:r>
        <w:rPr>
          <w:rFonts w:hint="eastAsia" w:ascii="宋体" w:hAnsi="宋体" w:cs="宋体"/>
          <w:b/>
          <w:bCs/>
          <w:color w:val="000000"/>
          <w:sz w:val="20"/>
          <w:szCs w:val="20"/>
        </w:rPr>
        <w:t>（理解）</w:t>
      </w:r>
    </w:p>
    <w:p>
      <w:pPr>
        <w:snapToGrid w:val="0"/>
        <w:spacing w:line="300" w:lineRule="auto"/>
        <w:rPr>
          <w:b/>
          <w:szCs w:val="21"/>
        </w:rPr>
      </w:pPr>
      <w:r>
        <w:rPr>
          <w:rFonts w:hint="eastAsia"/>
          <w:b/>
          <w:szCs w:val="21"/>
        </w:rPr>
        <w:t>课堂活动：</w:t>
      </w:r>
    </w:p>
    <w:p>
      <w:pPr>
        <w:snapToGrid w:val="0"/>
        <w:spacing w:line="30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分组，破冰活动</w:t>
      </w:r>
    </w:p>
    <w:p>
      <w:pPr>
        <w:snapToGrid w:val="0"/>
        <w:spacing w:line="300" w:lineRule="auto"/>
        <w:ind w:firstLine="400" w:firstLineChars="200"/>
        <w:rPr>
          <w:rFonts w:ascii="宋体" w:hAnsi="宋体" w:cs="宋体"/>
          <w:color w:val="000000"/>
          <w:sz w:val="20"/>
          <w:szCs w:val="20"/>
        </w:rPr>
      </w:pPr>
    </w:p>
    <w:p>
      <w:pPr>
        <w:numPr>
          <w:ilvl w:val="0"/>
          <w:numId w:val="1"/>
        </w:numPr>
        <w:snapToGrid w:val="0"/>
        <w:spacing w:line="300" w:lineRule="auto"/>
        <w:jc w:val="center"/>
        <w:rPr>
          <w:b/>
          <w:szCs w:val="21"/>
        </w:rPr>
      </w:pPr>
      <w:r>
        <w:rPr>
          <w:rFonts w:hint="eastAsia"/>
          <w:b/>
          <w:szCs w:val="21"/>
        </w:rPr>
        <w:t>认识职业生涯规划（2学时）</w:t>
      </w:r>
    </w:p>
    <w:p>
      <w:pPr>
        <w:snapToGrid w:val="0"/>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通过讲解职业的相关概念；理解职业定位的含义、内容、原则及方法；帮助正确认识影响职业生涯发展的因素，认识职业生涯规划对个人职业生涯的重要性</w:t>
      </w:r>
    </w:p>
    <w:p>
      <w:pPr>
        <w:snapToGrid w:val="0"/>
        <w:spacing w:line="300" w:lineRule="auto"/>
        <w:ind w:firstLine="420" w:firstLineChars="200"/>
        <w:rPr>
          <w:szCs w:val="21"/>
        </w:rPr>
      </w:pPr>
    </w:p>
    <w:p>
      <w:pPr>
        <w:snapToGrid w:val="0"/>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1.职业、职业生涯和职业规划的概念、意义，职业规划的步骤</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2.职业对个体生活的重要意义</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3.所学专业对应的职业、行业</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4.热爱所选专业，学好专业知识技能</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5.职业生涯彩虹图</w:t>
      </w:r>
      <w:r>
        <w:rPr>
          <w:rFonts w:hint="eastAsia" w:ascii="宋体" w:hAnsi="宋体" w:cs="宋体"/>
          <w:b/>
          <w:bCs/>
          <w:color w:val="000000"/>
          <w:sz w:val="20"/>
          <w:szCs w:val="20"/>
        </w:rPr>
        <w:t>（运用）</w:t>
      </w:r>
    </w:p>
    <w:p>
      <w:pPr>
        <w:snapToGrid w:val="0"/>
        <w:spacing w:line="300" w:lineRule="auto"/>
        <w:rPr>
          <w:b/>
          <w:szCs w:val="21"/>
        </w:rPr>
      </w:pPr>
      <w:r>
        <w:rPr>
          <w:rFonts w:hint="eastAsia"/>
          <w:b/>
          <w:szCs w:val="21"/>
        </w:rPr>
        <w:t>课堂活动：</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分组，认识你的生活角色、鱼骨生命线</w:t>
      </w:r>
    </w:p>
    <w:p>
      <w:pPr>
        <w:snapToGrid w:val="0"/>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课堂讲授、HR分享、师生互动。</w:t>
      </w:r>
    </w:p>
    <w:p>
      <w:pPr>
        <w:snapToGrid w:val="0"/>
        <w:spacing w:line="300" w:lineRule="auto"/>
        <w:rPr>
          <w:bCs/>
          <w:color w:val="000000"/>
          <w:szCs w:val="21"/>
        </w:rPr>
      </w:pPr>
    </w:p>
    <w:p>
      <w:pPr>
        <w:numPr>
          <w:ilvl w:val="0"/>
          <w:numId w:val="1"/>
        </w:numPr>
        <w:snapToGrid w:val="0"/>
        <w:spacing w:line="300" w:lineRule="auto"/>
        <w:jc w:val="center"/>
        <w:rPr>
          <w:b/>
          <w:szCs w:val="21"/>
        </w:rPr>
      </w:pPr>
      <w:r>
        <w:rPr>
          <w:rFonts w:hint="eastAsia"/>
          <w:b/>
          <w:szCs w:val="21"/>
        </w:rPr>
        <w:t>正确认识自我（5学时）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利用当今世界普遍采用的理论和方法，科学认识自己的职业兴趣、职业性格、职业技能和职业价值观等职业特征，指导学生在掌握自我认知方法的基础上，对自我的职业理想等进行比较全面的了解，为科学的制定职业生涯规划奠定基础。</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1.认识自己的意义：认识自我：公开我、隐私我、背脊我、潜在我的概念</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2.科学的认识自我</w:t>
      </w:r>
      <w:r>
        <w:rPr>
          <w:rFonts w:hint="eastAsia" w:ascii="宋体" w:hAnsi="宋体" w:cs="宋体"/>
          <w:b/>
          <w:bCs/>
          <w:color w:val="000000"/>
          <w:sz w:val="20"/>
          <w:szCs w:val="20"/>
        </w:rPr>
        <w:t>（综合）</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1）职业兴趣：介绍霍兰德职业兴趣六边形理论，教会学生利用吉讯测评系统在网上测试自己的职业兴趣等职业特征，了解自己喜欢的职业（为后面测试自己的职业性格、职业技能和职业价值观等打下基础）。</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2）职业性格：介绍美国布里格斯-迈尔斯母女创制的MBTI职业性格理论：四个维度，十六种性格特征。在了解MBTI职业性格理论、特点的，通过课堂列举练习，初步把握自己的性格特征。</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职业技能：引导学生，列举自己所学过的专业知识技能、基本掌握的操作（可迁移）技能和具备的自我管理技能，认识自己相对突出的职业能力：逻辑推理能力、语言能力、空间想象能力、数学能力、人际交往能力等，进一步认识自己能够干好的职业。</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4）职业价值观：在进行职业价值观模拟市场基础上， 筛选、澄清自己所努力追求的核心价值观，作为今后奋斗和追求的目标。</w:t>
      </w:r>
    </w:p>
    <w:p>
      <w:pPr>
        <w:spacing w:line="300" w:lineRule="auto"/>
        <w:rPr>
          <w:b/>
          <w:szCs w:val="21"/>
        </w:rPr>
      </w:pPr>
      <w:r>
        <w:rPr>
          <w:rFonts w:hint="eastAsia"/>
          <w:b/>
          <w:szCs w:val="21"/>
        </w:rPr>
        <w:t>课堂活动：</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兴趣岛选取、吉讯测评。</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课堂讲授、测评示范、测评结果展示解读、案例分析，职业规划目标分享等。</w:t>
      </w:r>
    </w:p>
    <w:p>
      <w:pPr>
        <w:spacing w:line="300" w:lineRule="auto"/>
        <w:rPr>
          <w:szCs w:val="21"/>
        </w:rPr>
      </w:pPr>
    </w:p>
    <w:p>
      <w:pPr>
        <w:spacing w:line="300" w:lineRule="auto"/>
        <w:jc w:val="center"/>
        <w:rPr>
          <w:b/>
          <w:szCs w:val="21"/>
        </w:rPr>
      </w:pPr>
      <w:r>
        <w:rPr>
          <w:rFonts w:hint="eastAsia"/>
          <w:b/>
          <w:szCs w:val="21"/>
        </w:rPr>
        <w:t>第四章  探索职业世界（1学时）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指导学生在了解我国宏观职业分类的基础上，掌握职业认知的方法和途径，能够对某一具体职业或行业的现状与发展趋势进行分析和评价，能够对某一具体职业岗位的工作环境、工作内涵、素质能力要求进行了解和探索，结合自己的家庭环境状况，进而科学的确定自己的职业奋斗目标。</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1.工作、职业、事业的内涵与分类</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2.选择与自己匹配的事业：兴趣取向、能力取向、价值取向、性格趋向</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3.锁定自己的职业锚：技术/职能型、管理型、自主/独立型、安全/稳定型、创造/创业型、服务/奉献型、挑战型、生活型</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4.社会和家庭能够为自己提供的职业就业资源，结合自己的职业特点，找出适合自己的、追求的职业目标（职业生涯奋斗方向）</w:t>
      </w:r>
      <w:r>
        <w:rPr>
          <w:rFonts w:hint="eastAsia" w:ascii="宋体" w:hAnsi="宋体" w:cs="宋体"/>
          <w:b/>
          <w:bCs/>
          <w:color w:val="000000"/>
          <w:sz w:val="20"/>
          <w:szCs w:val="20"/>
        </w:rPr>
        <w:t>（分析）</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5.SWOT分析方法：学会分析自己的优势、劣势、机会、威胁，认识实现自己职业目标的可能性，并制定相应的调整方案</w:t>
      </w:r>
      <w:r>
        <w:rPr>
          <w:rFonts w:hint="eastAsia" w:ascii="宋体" w:hAnsi="宋体" w:cs="宋体"/>
          <w:b/>
          <w:bCs/>
          <w:color w:val="000000"/>
          <w:sz w:val="20"/>
          <w:szCs w:val="20"/>
        </w:rPr>
        <w:t>（运用）</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课堂讲授、小组讨论，职业目标分享等。</w:t>
      </w:r>
    </w:p>
    <w:p>
      <w:pPr>
        <w:numPr>
          <w:ilvl w:val="0"/>
          <w:numId w:val="2"/>
        </w:numPr>
        <w:spacing w:line="300" w:lineRule="auto"/>
        <w:jc w:val="center"/>
        <w:rPr>
          <w:b/>
          <w:szCs w:val="21"/>
        </w:rPr>
      </w:pPr>
      <w:r>
        <w:rPr>
          <w:rFonts w:hint="eastAsia"/>
          <w:b/>
          <w:szCs w:val="21"/>
        </w:rPr>
        <w:t xml:space="preserve"> 打造职业素养（2学时）</w:t>
      </w:r>
    </w:p>
    <w:p>
      <w:pPr>
        <w:spacing w:line="300" w:lineRule="auto"/>
        <w:rPr>
          <w:b/>
          <w:szCs w:val="21"/>
        </w:rPr>
      </w:pPr>
      <w:r>
        <w:rPr>
          <w:rFonts w:hint="eastAsia"/>
          <w:b/>
          <w:szCs w:val="21"/>
        </w:rPr>
        <w:t>教学目的：</w:t>
      </w:r>
    </w:p>
    <w:p>
      <w:pPr>
        <w:spacing w:line="300" w:lineRule="auto"/>
        <w:ind w:firstLine="420" w:firstLineChars="200"/>
        <w:rPr>
          <w:rFonts w:ascii="宋体" w:hAnsi="宋体" w:cs="宋体"/>
          <w:color w:val="000000"/>
          <w:sz w:val="20"/>
          <w:szCs w:val="20"/>
        </w:rPr>
      </w:pPr>
      <w:r>
        <w:rPr>
          <w:rFonts w:hint="eastAsia"/>
          <w:szCs w:val="21"/>
        </w:rPr>
        <w:t xml:space="preserve"> </w:t>
      </w:r>
      <w:r>
        <w:rPr>
          <w:rFonts w:hint="eastAsia" w:ascii="宋体" w:hAnsi="宋体" w:cs="宋体"/>
          <w:color w:val="000000"/>
          <w:sz w:val="20"/>
          <w:szCs w:val="20"/>
        </w:rPr>
        <w:t>结合用人单位对毕业生的需求，帮助大学生学会管理时间、培养各方面职业素养。</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1.个人修养</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2.职业素养</w:t>
      </w:r>
      <w:r>
        <w:rPr>
          <w:rFonts w:hint="eastAsia" w:ascii="宋体" w:hAnsi="宋体" w:cs="宋体"/>
          <w:b/>
          <w:bCs/>
          <w:color w:val="000000"/>
          <w:sz w:val="20"/>
          <w:szCs w:val="20"/>
        </w:rPr>
        <w:t>（综合）</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课堂讲授、小组讨论，案例分享等。</w:t>
      </w:r>
    </w:p>
    <w:p>
      <w:pPr>
        <w:spacing w:line="300" w:lineRule="auto"/>
        <w:rPr>
          <w:b/>
          <w:szCs w:val="21"/>
        </w:rPr>
      </w:pPr>
    </w:p>
    <w:p>
      <w:pPr>
        <w:spacing w:line="300" w:lineRule="auto"/>
        <w:jc w:val="center"/>
        <w:rPr>
          <w:szCs w:val="21"/>
        </w:rPr>
      </w:pPr>
      <w:r>
        <w:rPr>
          <w:rFonts w:hint="eastAsia"/>
          <w:b/>
          <w:szCs w:val="21"/>
        </w:rPr>
        <w:t>第六章  科学职业决策（2学时）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指导学生掌握职业定向的基本步骤、原则与方法，引导学生进行科学的职业发展设计。</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1.职业生涯设计的五步骤</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2.职业生涯设计的原则：三项设计原则、认识六种社会类型、工作志向、目标、职业和路线的四项确定</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3.完成职业生涯设计方案</w:t>
      </w:r>
      <w:r>
        <w:rPr>
          <w:rFonts w:hint="eastAsia" w:ascii="宋体" w:hAnsi="宋体" w:cs="宋体"/>
          <w:b/>
          <w:bCs/>
          <w:color w:val="000000"/>
          <w:sz w:val="20"/>
          <w:szCs w:val="20"/>
        </w:rPr>
        <w:t>（分析）</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4.在班级展示职业生涯规划</w:t>
      </w:r>
      <w:r>
        <w:rPr>
          <w:rFonts w:hint="eastAsia" w:ascii="宋体" w:hAnsi="宋体" w:cs="宋体"/>
          <w:b/>
          <w:bCs/>
          <w:color w:val="000000"/>
          <w:sz w:val="20"/>
          <w:szCs w:val="20"/>
        </w:rPr>
        <w:t>（综合）</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课堂讲授、小组讨论、案例分析</w:t>
      </w:r>
    </w:p>
    <w:p>
      <w:pPr>
        <w:snapToGrid w:val="0"/>
        <w:spacing w:line="300" w:lineRule="auto"/>
        <w:ind w:firstLine="400" w:firstLineChars="200"/>
        <w:rPr>
          <w:rFonts w:ascii="宋体" w:hAnsi="宋体" w:cs="宋体"/>
          <w:color w:val="000000"/>
          <w:sz w:val="20"/>
          <w:szCs w:val="20"/>
        </w:rPr>
      </w:pPr>
    </w:p>
    <w:p>
      <w:pPr>
        <w:spacing w:line="300" w:lineRule="auto"/>
        <w:jc w:val="center"/>
        <w:rPr>
          <w:szCs w:val="21"/>
        </w:rPr>
      </w:pPr>
    </w:p>
    <w:p>
      <w:pPr>
        <w:spacing w:line="300" w:lineRule="auto"/>
        <w:jc w:val="center"/>
        <w:rPr>
          <w:szCs w:val="21"/>
        </w:rPr>
      </w:pPr>
      <w:r>
        <w:rPr>
          <w:rFonts w:hint="eastAsia"/>
          <w:b/>
          <w:szCs w:val="21"/>
        </w:rPr>
        <w:t>第七章  大学生专业技能和职业规划展示（2学时）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引导学生进行科学的职业发展设计，展示职业规划。</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1.专业技能概述</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2.大学生专业技能的培养途径</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3.各类专业学生应具备的专业技能</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4.职业规划展示</w:t>
      </w:r>
      <w:r>
        <w:rPr>
          <w:rFonts w:hint="eastAsia" w:ascii="宋体" w:hAnsi="宋体" w:cs="宋体"/>
          <w:b/>
          <w:bCs/>
          <w:color w:val="000000"/>
          <w:sz w:val="20"/>
          <w:szCs w:val="20"/>
        </w:rPr>
        <w:t>（评价）</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课堂讲授、小组讨论、代表展示、打分评估等</w:t>
      </w:r>
    </w:p>
    <w:p>
      <w:pPr>
        <w:widowControl/>
        <w:spacing w:before="156" w:beforeLines="50" w:after="156" w:afterLines="50" w:line="300"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w:t>
      </w:r>
      <w:bookmarkStart w:id="1" w:name="_GoBack"/>
      <w:bookmarkEnd w:id="1"/>
      <w:r>
        <w:rPr>
          <w:rFonts w:hint="eastAsia" w:ascii="黑体" w:hAnsi="宋体" w:eastAsia="黑体"/>
          <w:sz w:val="24"/>
        </w:rPr>
        <w:t>集中实践、实习、毕业设计等）</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列出实践环节各阶段的名称、实践的天数或周数及每个阶段的内容简述。</w:t>
      </w:r>
    </w:p>
    <w:tbl>
      <w:tblPr>
        <w:tblStyle w:val="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40"/>
        <w:gridCol w:w="3751"/>
        <w:gridCol w:w="1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序号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各阶段名称</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实践主要内容</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天数/周数</w:t>
            </w:r>
          </w:p>
        </w:tc>
        <w:tc>
          <w:tcPr>
            <w:tcW w:w="1134" w:type="dxa"/>
            <w:tcBorders>
              <w:top w:val="single" w:color="auto" w:sz="4" w:space="0"/>
              <w:left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1</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职业生涯人物访谈</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采访职场成功人士，写出访谈报告</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1/第2～6周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不得访谈在校生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2</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绘制组标</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团队建设，绘制组标，展示协作沟通能力</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1/第1周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3</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兴趣岛选择</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岛标绘制，招贴画展示，体现兴趣和协作能力</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1/第3周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4</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价值观拍卖会</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价值观构建，了解学生工作价值取向</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1/第5周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5</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职业规划书展示</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在测评基础上制作生涯规划书展示</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1/第8周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bl>
    <w:p>
      <w:pPr>
        <w:snapToGrid w:val="0"/>
        <w:spacing w:line="300" w:lineRule="auto"/>
        <w:ind w:right="2520"/>
        <w:rPr>
          <w:sz w:val="20"/>
          <w:szCs w:val="20"/>
        </w:rPr>
      </w:pPr>
    </w:p>
    <w:p>
      <w:pPr>
        <w:widowControl/>
        <w:spacing w:before="156" w:beforeLines="50" w:after="156" w:afterLines="50" w:line="300" w:lineRule="auto"/>
        <w:jc w:val="left"/>
        <w:rPr>
          <w:rFonts w:ascii="黑体" w:hAnsi="宋体" w:eastAsia="黑体"/>
          <w:sz w:val="24"/>
        </w:rPr>
      </w:pPr>
      <w:r>
        <w:rPr>
          <w:rFonts w:hint="eastAsia" w:ascii="黑体" w:hAnsi="宋体" w:eastAsia="黑体"/>
          <w:sz w:val="24"/>
        </w:rPr>
        <w:t xml:space="preserve">   七、评价方式与成绩</w:t>
      </w:r>
      <w:r>
        <w:rPr>
          <w:rFonts w:ascii="黑体" w:hAnsi="宋体" w:eastAsia="黑体"/>
          <w:sz w:val="24"/>
        </w:rPr>
        <w:t>（必填项）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“1”一般为总结性评价, “X”为过程性评价，“X”的次数一般不少于3次，无论是“1”、还是“X”，都可以是纸笔测试，也可以是表现性评价。与能力本位相适应的课程评价方式，较少采用纸笔测试，较多采用表现性评价。</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常用的评价方式有：课堂展示、口头报告、论文、日志、反思、调查报告、个人项目报告、小组项目报告、实验报告、读书报告、作品（选集）、口试、课堂小测验、期终闭卷考、期终开卷考、工作现场评估、自我评估、同辈评估等等。</w:t>
      </w:r>
      <w:r>
        <w:rPr>
          <w:rFonts w:hint="eastAsia" w:ascii="宋体" w:hAnsi="宋体" w:cs="宋体"/>
          <w:b/>
          <w:bCs/>
          <w:color w:val="000000"/>
          <w:sz w:val="20"/>
          <w:szCs w:val="20"/>
        </w:rPr>
        <w:t>一般课外扩展阅读的检查评价应该成为“X”中的一部分。</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同一门课程由多个教师共同授课的，由课程组共同讨论决定X的内容、次数及比例。</w:t>
      </w:r>
    </w:p>
    <w:tbl>
      <w:tblPr>
        <w:tblStyle w:val="5"/>
        <w:tblpPr w:leftFromText="180" w:rightFromText="180" w:vertAnchor="text" w:horzAnchor="margin" w:tblpXSpec="center" w:tblpY="193"/>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rPr>
                <w:rFonts w:ascii="宋体" w:hAnsi="宋体"/>
                <w:bCs/>
                <w:color w:val="000000"/>
                <w:sz w:val="20"/>
                <w:szCs w:val="20"/>
              </w:rPr>
            </w:pPr>
            <w:r>
              <w:rPr>
                <w:rFonts w:hint="eastAsia" w:ascii="宋体" w:hAnsi="宋体"/>
                <w:bCs/>
                <w:color w:val="000000"/>
                <w:sz w:val="20"/>
                <w:szCs w:val="20"/>
              </w:rPr>
              <w:t>总评构成（1+</w:t>
            </w:r>
            <w:r>
              <w:rPr>
                <w:rFonts w:ascii="宋体" w:hAnsi="宋体"/>
                <w:bCs/>
                <w:color w:val="000000"/>
                <w:sz w:val="20"/>
                <w:szCs w:val="20"/>
              </w:rPr>
              <w:t>X</w:t>
            </w:r>
            <w:r>
              <w:rPr>
                <w:rFonts w:hint="eastAsia" w:ascii="宋体" w:hAnsi="宋体"/>
                <w:bCs/>
                <w:color w:val="000000"/>
                <w:sz w:val="20"/>
                <w:szCs w:val="20"/>
              </w:rPr>
              <w:t>）</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评价方式</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1</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ascii="宋体" w:hAnsi="宋体"/>
                <w:bCs/>
                <w:color w:val="000000"/>
                <w:sz w:val="20"/>
                <w:szCs w:val="20"/>
              </w:rPr>
              <w:t>期末成绩</w:t>
            </w:r>
            <w:r>
              <w:rPr>
                <w:rFonts w:hint="eastAsia" w:ascii="宋体" w:hAnsi="宋体"/>
                <w:bCs/>
                <w:color w:val="000000"/>
                <w:sz w:val="20"/>
                <w:szCs w:val="20"/>
              </w:rPr>
              <w:t>：职业生涯规划</w:t>
            </w:r>
            <w:r>
              <w:rPr>
                <w:rFonts w:ascii="宋体" w:hAnsi="宋体"/>
                <w:bCs/>
                <w:color w:val="000000"/>
                <w:sz w:val="20"/>
                <w:szCs w:val="20"/>
              </w:rPr>
              <w:t>书</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4</w:t>
            </w:r>
            <w:r>
              <w:rPr>
                <w:rFonts w:ascii="宋体" w:hAnsi="宋体"/>
                <w:bCs/>
                <w:color w:val="000000"/>
                <w:sz w:val="20"/>
                <w:szCs w:val="20"/>
              </w:rPr>
              <w:t>0</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X1</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作业1：</w:t>
            </w:r>
            <w:r>
              <w:rPr>
                <w:rFonts w:hint="eastAsia" w:ascii="宋体" w:hAnsi="宋体" w:eastAsiaTheme="minorEastAsia"/>
                <w:bCs/>
                <w:color w:val="000000"/>
                <w:szCs w:val="20"/>
              </w:rPr>
              <w:t>吉讯测评</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3</w:t>
            </w:r>
            <w:r>
              <w:rPr>
                <w:rFonts w:ascii="宋体" w:hAnsi="宋体"/>
                <w:bCs/>
                <w:color w:val="000000"/>
                <w:sz w:val="20"/>
                <w:szCs w:val="20"/>
              </w:rPr>
              <w:t>0</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X2</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作业2：</w:t>
            </w:r>
            <w:r>
              <w:rPr>
                <w:rFonts w:hint="eastAsia" w:ascii="宋体" w:hAnsi="宋体" w:eastAsiaTheme="minorEastAsia"/>
                <w:bCs/>
                <w:color w:val="000000"/>
                <w:szCs w:val="20"/>
              </w:rPr>
              <w:t>生涯人物访谈</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3</w:t>
            </w:r>
            <w:r>
              <w:rPr>
                <w:rFonts w:ascii="宋体" w:hAnsi="宋体"/>
                <w:bCs/>
                <w:color w:val="000000"/>
                <w:sz w:val="20"/>
                <w:szCs w:val="20"/>
              </w:rPr>
              <w:t>0</w:t>
            </w:r>
            <w:r>
              <w:rPr>
                <w:rFonts w:hint="eastAsia" w:ascii="宋体" w:hAnsi="宋体"/>
                <w:bCs/>
                <w:color w:val="000000"/>
                <w:sz w:val="20"/>
                <w:szCs w:val="20"/>
              </w:rPr>
              <w:t>%</w:t>
            </w:r>
          </w:p>
        </w:tc>
      </w:tr>
    </w:tbl>
    <w:p>
      <w:pPr>
        <w:snapToGrid w:val="0"/>
        <w:spacing w:before="120" w:after="120" w:line="300" w:lineRule="auto"/>
        <w:ind w:firstLine="400" w:firstLineChars="200"/>
        <w:rPr>
          <w:rFonts w:ascii="宋体" w:hAnsi="宋体"/>
          <w:sz w:val="20"/>
          <w:szCs w:val="20"/>
        </w:rPr>
      </w:pPr>
    </w:p>
    <w:p>
      <w:pPr>
        <w:snapToGrid w:val="0"/>
        <w:spacing w:line="300" w:lineRule="auto"/>
        <w:ind w:firstLine="840" w:firstLineChars="300"/>
        <w:rPr>
          <w:rFonts w:hint="default" w:eastAsia="宋体"/>
          <w:sz w:val="28"/>
          <w:szCs w:val="28"/>
          <w:lang w:val="en-US" w:eastAsia="zh-CN"/>
        </w:rPr>
      </w:pPr>
      <w:r>
        <w:rPr>
          <w:rFonts w:hint="eastAsia"/>
          <w:sz w:val="28"/>
          <w:szCs w:val="28"/>
        </w:rPr>
        <w:t>撰写人：</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系主任审核签名：</w:t>
      </w:r>
      <w:r>
        <w:rPr>
          <w:rFonts w:hint="eastAsia"/>
          <w:sz w:val="28"/>
          <w:szCs w:val="28"/>
          <w:lang w:val="en-US" w:eastAsia="zh-CN"/>
        </w:rPr>
        <w:t xml:space="preserve">     </w:t>
      </w:r>
    </w:p>
    <w:p>
      <w:pPr>
        <w:snapToGrid w:val="0"/>
        <w:spacing w:line="300" w:lineRule="auto"/>
        <w:ind w:firstLine="840" w:firstLineChars="300"/>
        <w:rPr>
          <w:rFonts w:hint="eastAsia" w:eastAsia="宋体"/>
          <w:lang w:eastAsia="zh-CN"/>
        </w:rPr>
      </w:pPr>
      <w:r>
        <w:rPr>
          <w:rFonts w:hint="eastAsia"/>
          <w:sz w:val="28"/>
          <w:szCs w:val="28"/>
        </w:rPr>
        <w:t>审核时间：</w:t>
      </w: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4FA9D"/>
    <w:multiLevelType w:val="singleLevel"/>
    <w:tmpl w:val="AEC4FA9D"/>
    <w:lvl w:ilvl="0" w:tentative="0">
      <w:start w:val="5"/>
      <w:numFmt w:val="chineseCounting"/>
      <w:suff w:val="space"/>
      <w:lvlText w:val="第%1章"/>
      <w:lvlJc w:val="left"/>
      <w:rPr>
        <w:rFonts w:hint="eastAsia"/>
      </w:rPr>
    </w:lvl>
  </w:abstractNum>
  <w:abstractNum w:abstractNumId="1">
    <w:nsid w:val="232279CA"/>
    <w:multiLevelType w:val="multilevel"/>
    <w:tmpl w:val="232279CA"/>
    <w:lvl w:ilvl="0" w:tentative="0">
      <w:start w:val="1"/>
      <w:numFmt w:val="japaneseCounting"/>
      <w:lvlText w:val="第%1章"/>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0449"/>
    <w:rsid w:val="0007362F"/>
    <w:rsid w:val="001F4A01"/>
    <w:rsid w:val="00254B71"/>
    <w:rsid w:val="00256B39"/>
    <w:rsid w:val="0026033C"/>
    <w:rsid w:val="002E3721"/>
    <w:rsid w:val="002F1A16"/>
    <w:rsid w:val="00313BBA"/>
    <w:rsid w:val="0032602E"/>
    <w:rsid w:val="003367AE"/>
    <w:rsid w:val="00343628"/>
    <w:rsid w:val="00360D9D"/>
    <w:rsid w:val="004100B0"/>
    <w:rsid w:val="00540E5C"/>
    <w:rsid w:val="005467DC"/>
    <w:rsid w:val="00553D03"/>
    <w:rsid w:val="005A5912"/>
    <w:rsid w:val="005B2B6D"/>
    <w:rsid w:val="005B4B4E"/>
    <w:rsid w:val="00624FE1"/>
    <w:rsid w:val="007208D6"/>
    <w:rsid w:val="00731E84"/>
    <w:rsid w:val="00771F1D"/>
    <w:rsid w:val="008304AA"/>
    <w:rsid w:val="008B397C"/>
    <w:rsid w:val="008B47F4"/>
    <w:rsid w:val="00900019"/>
    <w:rsid w:val="0092743A"/>
    <w:rsid w:val="00956C41"/>
    <w:rsid w:val="0099063E"/>
    <w:rsid w:val="00993A51"/>
    <w:rsid w:val="00AF7A15"/>
    <w:rsid w:val="00B511A5"/>
    <w:rsid w:val="00B7651F"/>
    <w:rsid w:val="00BE300E"/>
    <w:rsid w:val="00C450CD"/>
    <w:rsid w:val="00C56E09"/>
    <w:rsid w:val="00C721FD"/>
    <w:rsid w:val="00CA4765"/>
    <w:rsid w:val="00E16D30"/>
    <w:rsid w:val="00E33169"/>
    <w:rsid w:val="00E70904"/>
    <w:rsid w:val="00E719BE"/>
    <w:rsid w:val="00EC43BB"/>
    <w:rsid w:val="00EE1EFB"/>
    <w:rsid w:val="00EF44B1"/>
    <w:rsid w:val="00F35AA0"/>
    <w:rsid w:val="00FE3BE2"/>
    <w:rsid w:val="00FF2C61"/>
    <w:rsid w:val="024B0C39"/>
    <w:rsid w:val="06AE4A14"/>
    <w:rsid w:val="06CD4C74"/>
    <w:rsid w:val="0750748C"/>
    <w:rsid w:val="07910517"/>
    <w:rsid w:val="089608E6"/>
    <w:rsid w:val="08E974A5"/>
    <w:rsid w:val="099D7C73"/>
    <w:rsid w:val="0AE81399"/>
    <w:rsid w:val="0D885DE8"/>
    <w:rsid w:val="0D8B056A"/>
    <w:rsid w:val="0D946737"/>
    <w:rsid w:val="104005E0"/>
    <w:rsid w:val="10DE52A2"/>
    <w:rsid w:val="11385D5A"/>
    <w:rsid w:val="1252010C"/>
    <w:rsid w:val="15B55178"/>
    <w:rsid w:val="170C74B4"/>
    <w:rsid w:val="1B711DC8"/>
    <w:rsid w:val="1BAA6CB1"/>
    <w:rsid w:val="1DBF19B2"/>
    <w:rsid w:val="1F3A54F8"/>
    <w:rsid w:val="22FE06E8"/>
    <w:rsid w:val="24192CCC"/>
    <w:rsid w:val="24D8761C"/>
    <w:rsid w:val="286F026D"/>
    <w:rsid w:val="29B53FA3"/>
    <w:rsid w:val="30D71AA0"/>
    <w:rsid w:val="35181218"/>
    <w:rsid w:val="38214182"/>
    <w:rsid w:val="382F61FB"/>
    <w:rsid w:val="39DF2B30"/>
    <w:rsid w:val="3CD52CE1"/>
    <w:rsid w:val="3D3C55B6"/>
    <w:rsid w:val="3DEE2DA1"/>
    <w:rsid w:val="41736F2E"/>
    <w:rsid w:val="4A9024CC"/>
    <w:rsid w:val="4C653F3E"/>
    <w:rsid w:val="50956560"/>
    <w:rsid w:val="52077858"/>
    <w:rsid w:val="531733D1"/>
    <w:rsid w:val="53496BBE"/>
    <w:rsid w:val="54875D3D"/>
    <w:rsid w:val="558C22B6"/>
    <w:rsid w:val="5A131E99"/>
    <w:rsid w:val="5C1E01CB"/>
    <w:rsid w:val="5D681F07"/>
    <w:rsid w:val="5DCD6222"/>
    <w:rsid w:val="60134DF4"/>
    <w:rsid w:val="62541A93"/>
    <w:rsid w:val="628B7A84"/>
    <w:rsid w:val="64ED0703"/>
    <w:rsid w:val="65EF01FF"/>
    <w:rsid w:val="66BA4938"/>
    <w:rsid w:val="679C57FD"/>
    <w:rsid w:val="69932395"/>
    <w:rsid w:val="6C852E78"/>
    <w:rsid w:val="6C88365C"/>
    <w:rsid w:val="6EC86481"/>
    <w:rsid w:val="6F160587"/>
    <w:rsid w:val="6F5042C2"/>
    <w:rsid w:val="6FF74199"/>
    <w:rsid w:val="726C2B85"/>
    <w:rsid w:val="773E764D"/>
    <w:rsid w:val="78E935FE"/>
    <w:rsid w:val="796D0776"/>
    <w:rsid w:val="7B293B45"/>
    <w:rsid w:val="7B6E1BBE"/>
    <w:rsid w:val="7BAB4660"/>
    <w:rsid w:val="7E3A07D6"/>
    <w:rsid w:val="7EC47E45"/>
    <w:rsid w:val="7FF23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597</Words>
  <Characters>3408</Characters>
  <Lines>28</Lines>
  <Paragraphs>7</Paragraphs>
  <TotalTime>8</TotalTime>
  <ScaleCrop>false</ScaleCrop>
  <LinksUpToDate>false</LinksUpToDate>
  <CharactersWithSpaces>3998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2022-01-04T02:41:30Z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1521D5666047491E856B4D8DBCA080EF</vt:lpwstr>
  </property>
</Properties>
</file>