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楷体" w:hAnsi="楷体" w:eastAsia="楷体" w:cs="宋体"/>
          <w:color w:val="000000"/>
          <w:kern w:val="0"/>
          <w:sz w:val="22"/>
        </w:rPr>
      </w:pPr>
      <w:r>
        <w:pict>
          <v:shape id="文本框 1" o:spid="_x0000_s1027" o:spt="202" type="#_x0000_t202" style="position:absolute;left:0pt;margin-left:53.8pt;margin-top:39.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通识课课程教学大纲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人际沟通艺术</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【The art of interpersonal communication】</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【203</w:t>
      </w:r>
      <w:r>
        <w:rPr>
          <w:rFonts w:hint="eastAsia"/>
          <w:color w:val="000000"/>
          <w:sz w:val="20"/>
          <w:szCs w:val="20"/>
          <w:lang w:val="en-US" w:eastAsia="zh-CN"/>
        </w:rPr>
        <w:t>8080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全校各专业班级</w:t>
      </w:r>
      <w:r>
        <w:rPr>
          <w:color w:val="000000"/>
          <w:sz w:val="20"/>
          <w:szCs w:val="20"/>
        </w:rPr>
        <w:t>】</w:t>
      </w:r>
    </w:p>
    <w:p>
      <w:pPr>
        <w:snapToGrid w:val="0"/>
        <w:spacing w:line="288" w:lineRule="auto"/>
        <w:ind w:firstLine="394" w:firstLineChars="196"/>
        <w:rPr>
          <w:rFonts w:hint="eastAsia"/>
          <w:color w:val="000000"/>
          <w:sz w:val="20"/>
          <w:szCs w:val="20"/>
          <w:lang w:val="en-US" w:eastAsia="zh-CN"/>
        </w:rPr>
      </w:pPr>
      <w:r>
        <w:rPr>
          <w:b/>
          <w:bCs/>
          <w:color w:val="000000"/>
          <w:sz w:val="20"/>
          <w:szCs w:val="20"/>
        </w:rPr>
        <w:t>课程性质：</w:t>
      </w:r>
      <w:r>
        <w:rPr>
          <w:rFonts w:hint="eastAsia"/>
          <w:color w:val="000000"/>
          <w:sz w:val="20"/>
          <w:szCs w:val="20"/>
          <w:lang w:val="en-US" w:eastAsia="zh-CN"/>
        </w:rPr>
        <w:t>选修课</w:t>
      </w:r>
    </w:p>
    <w:p>
      <w:pPr>
        <w:snapToGrid w:val="0"/>
        <w:spacing w:line="288" w:lineRule="auto"/>
        <w:ind w:firstLine="394" w:firstLineChars="196"/>
        <w:rPr>
          <w:rFonts w:hint="eastAsia"/>
          <w:color w:val="000000"/>
          <w:sz w:val="20"/>
          <w:szCs w:val="20"/>
          <w:lang w:val="en-US" w:eastAsia="zh-CN"/>
        </w:rPr>
      </w:pPr>
      <w:r>
        <w:rPr>
          <w:b/>
          <w:bCs/>
          <w:color w:val="000000"/>
          <w:sz w:val="20"/>
          <w:szCs w:val="20"/>
        </w:rPr>
        <w:t>开课院系：</w:t>
      </w:r>
      <w:r>
        <w:rPr>
          <w:rFonts w:hint="eastAsia"/>
          <w:color w:val="000000"/>
          <w:sz w:val="20"/>
          <w:szCs w:val="20"/>
          <w:lang w:val="en-US" w:eastAsia="zh-CN"/>
        </w:rPr>
        <w:t>通识教育学院</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bCs/>
          <w:color w:val="000000"/>
          <w:sz w:val="20"/>
          <w:szCs w:val="20"/>
          <w:lang w:eastAsia="zh-CN"/>
        </w:rPr>
        <w:t>教材：</w:t>
      </w:r>
      <w:r>
        <w:rPr>
          <w:rFonts w:hint="eastAsia"/>
          <w:bCs/>
          <w:color w:val="000000"/>
          <w:sz w:val="20"/>
          <w:szCs w:val="20"/>
        </w:rPr>
        <w:t>《人际</w:t>
      </w:r>
      <w:r>
        <w:rPr>
          <w:rFonts w:hint="eastAsia"/>
          <w:color w:val="000000"/>
          <w:sz w:val="20"/>
          <w:szCs w:val="20"/>
        </w:rPr>
        <w:t>沟通与交流》张美云</w:t>
      </w:r>
      <w:r>
        <w:rPr>
          <w:rFonts w:hint="eastAsia"/>
          <w:color w:val="000000"/>
          <w:sz w:val="20"/>
          <w:szCs w:val="20"/>
          <w:lang w:eastAsia="zh-CN"/>
        </w:rPr>
        <w:t>、</w:t>
      </w:r>
      <w:r>
        <w:rPr>
          <w:rFonts w:hint="eastAsia"/>
          <w:color w:val="000000"/>
          <w:sz w:val="20"/>
          <w:szCs w:val="20"/>
        </w:rPr>
        <w:t>吴海娟，清华大学出版社，2017年1月</w:t>
      </w:r>
    </w:p>
    <w:p>
      <w:pPr>
        <w:snapToGrid w:val="0"/>
        <w:spacing w:line="288" w:lineRule="auto"/>
        <w:ind w:firstLine="392" w:firstLineChars="196"/>
        <w:rPr>
          <w:color w:val="000000"/>
          <w:sz w:val="20"/>
          <w:szCs w:val="20"/>
        </w:rPr>
      </w:pPr>
      <w:r>
        <w:rPr>
          <w:rFonts w:hint="eastAsia"/>
          <w:bCs/>
          <w:color w:val="000000"/>
          <w:sz w:val="20"/>
          <w:szCs w:val="20"/>
        </w:rPr>
        <w:t>参考</w:t>
      </w:r>
      <w:r>
        <w:rPr>
          <w:rFonts w:hint="eastAsia"/>
          <w:bCs/>
          <w:color w:val="000000"/>
          <w:sz w:val="20"/>
          <w:szCs w:val="20"/>
          <w:lang w:eastAsia="zh-CN"/>
        </w:rPr>
        <w:t>数目</w:t>
      </w:r>
      <w:r>
        <w:rPr>
          <w:rFonts w:hint="eastAsia"/>
          <w:color w:val="000000"/>
          <w:sz w:val="20"/>
          <w:szCs w:val="20"/>
        </w:rPr>
        <w:t>：1、《沟通与交流》李颖娟、丁旭，清华大学出版社，2017年1月</w:t>
      </w:r>
    </w:p>
    <w:p>
      <w:pPr>
        <w:snapToGrid w:val="0"/>
        <w:spacing w:line="288" w:lineRule="auto"/>
        <w:ind w:firstLine="1392" w:firstLineChars="696"/>
        <w:rPr>
          <w:color w:val="000000"/>
          <w:sz w:val="20"/>
          <w:szCs w:val="20"/>
        </w:rPr>
      </w:pPr>
      <w:r>
        <w:rPr>
          <w:rFonts w:hint="eastAsia"/>
          <w:color w:val="000000"/>
          <w:sz w:val="20"/>
          <w:szCs w:val="20"/>
        </w:rPr>
        <w:t>2、《沟通技巧》王会勇，吉林大学出版社，2016年12月</w:t>
      </w:r>
    </w:p>
    <w:p>
      <w:pPr>
        <w:snapToGrid w:val="0"/>
        <w:spacing w:line="288" w:lineRule="auto"/>
        <w:ind w:firstLine="1392" w:firstLineChars="696"/>
        <w:rPr>
          <w:color w:val="000000"/>
          <w:sz w:val="20"/>
          <w:szCs w:val="20"/>
        </w:rPr>
      </w:pPr>
      <w:r>
        <w:rPr>
          <w:rFonts w:hint="eastAsia"/>
          <w:color w:val="000000"/>
          <w:sz w:val="20"/>
          <w:szCs w:val="20"/>
        </w:rPr>
        <w:t>3、《沟通说写教程》周金声、赵丽玲，人民出版社，2014年1月</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rStyle w:val="7"/>
          <w:rFonts w:hint="eastAsia"/>
          <w:sz w:val="20"/>
          <w:szCs w:val="20"/>
        </w:rPr>
      </w:pPr>
      <w:r>
        <w:rPr>
          <w:rStyle w:val="7"/>
          <w:rFonts w:hint="eastAsia"/>
          <w:sz w:val="20"/>
          <w:szCs w:val="20"/>
        </w:rPr>
        <w:t>https://mooc1-1.chaoxing.com/mycourse/teachercourse?moocId=219465606&amp;clazzid=43803878&amp;edit=true&amp;v=0&amp;cpi=78698079&amp;pageHeader=0</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r>
        <w:rPr>
          <w:rFonts w:hint="eastAsia"/>
          <w:color w:val="000000"/>
          <w:sz w:val="20"/>
          <w:szCs w:val="20"/>
        </w:rPr>
        <w:t>现代社会人们之间的交际广度和频率度不断加大，人际沟通能力成为人们生活和工作的重要手段，社交的礼仪形象能有效地展现一个人的素养、学识、风度和魅力。《</w:t>
      </w:r>
      <w:r>
        <w:rPr>
          <w:rFonts w:hint="eastAsia"/>
          <w:color w:val="000000"/>
          <w:sz w:val="20"/>
          <w:szCs w:val="20"/>
          <w:lang w:val="en-US" w:eastAsia="zh-CN"/>
        </w:rPr>
        <w:t>人际沟通艺术</w:t>
      </w:r>
      <w:r>
        <w:rPr>
          <w:rFonts w:hint="eastAsia"/>
          <w:color w:val="000000"/>
          <w:sz w:val="20"/>
          <w:szCs w:val="20"/>
        </w:rPr>
        <w:t>》即是一门为有效提高大学生的人际沟通能力而设计的，其重点是普及人际沟通知识、提升大学生的综合素质</w:t>
      </w:r>
      <w:r>
        <w:rPr>
          <w:rFonts w:hint="eastAsia"/>
          <w:color w:val="000000"/>
          <w:sz w:val="20"/>
          <w:szCs w:val="20"/>
          <w:lang w:eastAsia="zh-CN"/>
        </w:rPr>
        <w:t>，</w:t>
      </w:r>
      <w:r>
        <w:rPr>
          <w:rFonts w:hint="eastAsia"/>
          <w:color w:val="000000"/>
          <w:sz w:val="20"/>
          <w:szCs w:val="20"/>
        </w:rPr>
        <w:t>训练学生口语交际能力和礼仪基础的课程，旨在通过本课程的教学和训练，使学生掌握口语交际的基本技巧和社交礼仪的基本知识，以适应未来工作、学习和生活的需要，并为人际沟通能力和社交礼仪的进一步提高奠定良好的基础。通过本课程的学习，使学生全面了解实用口才的基本知识，熟悉相关口才的基础理论和基本技巧，并在掌握相关理论的基础上提高人际沟通与交流的能力，教学活动主要通过课堂讲授、音像教学、情景演示、学生课堂展示等形式进行，注重学生职业素质和沟通能力的培养。</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该课程适合</w:t>
      </w:r>
      <w:r>
        <w:rPr>
          <w:rFonts w:hint="eastAsia"/>
          <w:color w:val="000000"/>
          <w:sz w:val="20"/>
          <w:szCs w:val="20"/>
          <w:lang w:val="en-US" w:eastAsia="zh-CN"/>
        </w:rPr>
        <w:t>各专业</w:t>
      </w:r>
      <w:r>
        <w:rPr>
          <w:rFonts w:hint="eastAsia"/>
          <w:color w:val="000000"/>
          <w:sz w:val="20"/>
          <w:szCs w:val="20"/>
        </w:rPr>
        <w:t>年级学生学习。</w:t>
      </w:r>
    </w:p>
    <w:p>
      <w:pPr>
        <w:snapToGrid w:val="0"/>
        <w:spacing w:line="288" w:lineRule="auto"/>
        <w:ind w:firstLine="400" w:firstLineChars="200"/>
        <w:rPr>
          <w:color w:val="000000"/>
          <w:sz w:val="20"/>
          <w:szCs w:val="20"/>
        </w:rPr>
      </w:pP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专业毕业要求的关联</w:t>
      </w:r>
      <w:r>
        <w:rPr>
          <w:rFonts w:ascii="黑体" w:hAnsi="宋体" w:eastAsia="黑体"/>
          <w:sz w:val="24"/>
        </w:rPr>
        <w:t>性</w:t>
      </w:r>
    </w:p>
    <w:p>
      <w:pPr>
        <w:widowControl/>
        <w:numPr>
          <w:ilvl w:val="0"/>
          <w:numId w:val="0"/>
        </w:numPr>
        <w:spacing w:beforeLines="50" w:afterLines="50" w:line="288" w:lineRule="auto"/>
        <w:jc w:val="left"/>
        <w:rPr>
          <w:rFonts w:ascii="黑体" w:hAnsi="宋体" w:eastAsia="黑体"/>
          <w:sz w:val="24"/>
        </w:rPr>
      </w:pPr>
    </w:p>
    <w:tbl>
      <w:tblPr>
        <w:tblStyle w:val="4"/>
        <w:tblW w:w="8429" w:type="dxa"/>
        <w:tblInd w:w="93" w:type="dxa"/>
        <w:tblLayout w:type="fixed"/>
        <w:tblCellMar>
          <w:top w:w="0" w:type="dxa"/>
          <w:left w:w="108" w:type="dxa"/>
          <w:bottom w:w="0" w:type="dxa"/>
          <w:right w:w="108" w:type="dxa"/>
        </w:tblCellMar>
      </w:tblPr>
      <w:tblGrid>
        <w:gridCol w:w="700"/>
        <w:gridCol w:w="1129"/>
        <w:gridCol w:w="5525"/>
        <w:gridCol w:w="1075"/>
      </w:tblGrid>
      <w:tr>
        <w:tblPrEx>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1</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2"/>
              </w:rPr>
              <w:t>LO</w:t>
            </w:r>
            <w:r>
              <w:rPr>
                <w:rFonts w:hint="eastAsia" w:ascii="宋体" w:hAnsi="宋体" w:cs="宋体"/>
                <w:color w:val="000000"/>
                <w:kern w:val="0"/>
                <w:sz w:val="22"/>
                <w:lang w:val="en-US" w:eastAsia="zh-CN"/>
              </w:rPr>
              <w:t>1</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倾听他人的需求和诉求点。</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1</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L0</w:t>
            </w:r>
            <w:r>
              <w:rPr>
                <w:rFonts w:hint="eastAsia" w:ascii="宋体" w:hAnsi="宋体" w:cs="宋体"/>
                <w:color w:val="000000"/>
                <w:kern w:val="0"/>
                <w:sz w:val="22"/>
                <w:lang w:val="en-US" w:eastAsia="zh-CN"/>
              </w:rPr>
              <w:t>1</w:t>
            </w:r>
            <w:r>
              <w:rPr>
                <w:rFonts w:hint="eastAsia" w:ascii="宋体" w:hAnsi="宋体" w:cs="宋体"/>
                <w:color w:val="000000"/>
                <w:kern w:val="0"/>
                <w:sz w:val="22"/>
              </w:rPr>
              <w:t>1</w:t>
            </w:r>
            <w:r>
              <w:rPr>
                <w:rFonts w:hint="eastAsia" w:ascii="宋体" w:hAnsi="宋体" w:cs="宋体"/>
                <w:color w:val="000000"/>
                <w:kern w:val="0"/>
                <w:sz w:val="22"/>
                <w:lang w:val="en-US" w:eastAsia="zh-CN"/>
              </w:rPr>
              <w:t>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应用书面或口头形式，阐释自己的观点，有效沟通。</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4</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rPr>
            </w:pPr>
            <w:r>
              <w:rPr>
                <w:rFonts w:hint="eastAsia" w:ascii="宋体" w:hAnsi="宋体" w:cs="宋体"/>
                <w:color w:val="000000"/>
                <w:kern w:val="0"/>
                <w:sz w:val="22"/>
              </w:rPr>
              <w:t>L0</w:t>
            </w:r>
            <w:r>
              <w:rPr>
                <w:rFonts w:hint="eastAsia" w:ascii="宋体" w:hAnsi="宋体" w:cs="宋体"/>
                <w:color w:val="000000"/>
                <w:kern w:val="0"/>
                <w:sz w:val="22"/>
                <w:lang w:val="en-US" w:eastAsia="zh-CN"/>
              </w:rPr>
              <w:t>511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1"/>
                <w:szCs w:val="21"/>
                <w:lang w:val="en-US" w:eastAsia="zh-CN"/>
              </w:rPr>
            </w:pPr>
            <w:r>
              <w:rPr>
                <w:rFonts w:hint="eastAsia" w:ascii="宋体" w:hAnsi="宋体" w:cs="宋体"/>
                <w:color w:val="000000"/>
                <w:kern w:val="0"/>
                <w:sz w:val="20"/>
                <w:szCs w:val="20"/>
              </w:rPr>
              <w:t>在集体活动中能主动担任自己的角色，与其他成员密切合作，共同完成任务。</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1</w:t>
            </w:r>
          </w:p>
        </w:tc>
        <w:tc>
          <w:tcPr>
            <w:tcW w:w="1175" w:type="dxa"/>
            <w:shd w:val="clear" w:color="auto" w:fill="auto"/>
            <w:vAlign w:val="top"/>
          </w:tcPr>
          <w:p>
            <w:pPr>
              <w:jc w:val="center"/>
              <w:rPr>
                <w:rFonts w:ascii="Calibri" w:hAnsi="Calibri" w:eastAsia="宋体" w:cs="Times New Roman"/>
                <w:kern w:val="2"/>
                <w:sz w:val="21"/>
                <w:szCs w:val="22"/>
                <w:lang w:val="en-US" w:eastAsia="zh-CN" w:bidi="ar-SA"/>
              </w:rPr>
            </w:pPr>
            <w:r>
              <w:rPr>
                <w:rFonts w:hint="eastAsia"/>
              </w:rPr>
              <w:t>LO111</w:t>
            </w:r>
          </w:p>
        </w:tc>
        <w:tc>
          <w:tcPr>
            <w:tcW w:w="2470" w:type="dxa"/>
            <w:shd w:val="clear" w:color="auto" w:fill="auto"/>
            <w:vAlign w:val="top"/>
          </w:tcPr>
          <w:p>
            <w:pPr>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倾听他人的需求和诉求点。</w:t>
            </w:r>
          </w:p>
        </w:tc>
        <w:tc>
          <w:tcPr>
            <w:tcW w:w="2199" w:type="dxa"/>
            <w:shd w:val="clear" w:color="auto" w:fill="auto"/>
            <w:vAlign w:val="top"/>
          </w:tcPr>
          <w:p>
            <w:pPr>
              <w:snapToGrid w:val="0"/>
              <w:spacing w:line="288"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课堂讲授倾听的作用与课下学生开展活动</w:t>
            </w:r>
          </w:p>
        </w:tc>
        <w:tc>
          <w:tcPr>
            <w:tcW w:w="1276" w:type="dxa"/>
            <w:shd w:val="clear" w:color="auto" w:fill="auto"/>
            <w:vAlign w:val="top"/>
          </w:tcPr>
          <w:p>
            <w:pPr>
              <w:snapToGrid w:val="0"/>
              <w:spacing w:line="288" w:lineRule="auto"/>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2</w:t>
            </w:r>
          </w:p>
        </w:tc>
        <w:tc>
          <w:tcPr>
            <w:tcW w:w="1175" w:type="dxa"/>
            <w:shd w:val="clear" w:color="auto" w:fill="auto"/>
            <w:vAlign w:val="center"/>
          </w:tcPr>
          <w:p>
            <w:pPr>
              <w:jc w:val="center"/>
              <w:rPr>
                <w:rFonts w:ascii="Calibri" w:hAnsi="Calibri" w:eastAsia="宋体" w:cs="Times New Roman"/>
                <w:kern w:val="2"/>
                <w:sz w:val="21"/>
                <w:szCs w:val="22"/>
                <w:lang w:val="en-US" w:eastAsia="zh-CN" w:bidi="ar-SA"/>
              </w:rPr>
            </w:pPr>
            <w:r>
              <w:rPr>
                <w:rFonts w:hint="eastAsia"/>
              </w:rPr>
              <w:t>LO112</w:t>
            </w:r>
          </w:p>
        </w:tc>
        <w:tc>
          <w:tcPr>
            <w:tcW w:w="2470" w:type="dxa"/>
            <w:shd w:val="clear" w:color="auto" w:fill="auto"/>
            <w:vAlign w:val="center"/>
          </w:tcPr>
          <w:p>
            <w:pPr>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应用书面或口头形式，阐释自己的观点，有效沟通。</w:t>
            </w:r>
          </w:p>
        </w:tc>
        <w:tc>
          <w:tcPr>
            <w:tcW w:w="2199" w:type="dxa"/>
            <w:shd w:val="clear" w:color="auto" w:fill="auto"/>
            <w:vAlign w:val="top"/>
          </w:tcPr>
          <w:p>
            <w:pPr>
              <w:snapToGrid w:val="0"/>
              <w:spacing w:line="288"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课堂讲授演讲的内容与学生课下准备后并在课上进行演讲展示。</w:t>
            </w:r>
          </w:p>
        </w:tc>
        <w:tc>
          <w:tcPr>
            <w:tcW w:w="1276" w:type="dxa"/>
            <w:shd w:val="clear" w:color="auto" w:fill="auto"/>
            <w:vAlign w:val="top"/>
          </w:tcPr>
          <w:p>
            <w:pPr>
              <w:snapToGrid w:val="0"/>
              <w:spacing w:line="288" w:lineRule="auto"/>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实际沟通案例分析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3</w:t>
            </w:r>
          </w:p>
        </w:tc>
        <w:tc>
          <w:tcPr>
            <w:tcW w:w="1175" w:type="dxa"/>
            <w:shd w:val="clear" w:color="auto" w:fill="auto"/>
            <w:vAlign w:val="center"/>
          </w:tcPr>
          <w:p>
            <w:pPr>
              <w:widowControl/>
              <w:jc w:val="center"/>
              <w:rPr>
                <w:rFonts w:ascii="仿宋" w:hAnsi="仿宋" w:eastAsia="仿宋" w:cs="宋体"/>
                <w:b/>
                <w:bCs/>
                <w:color w:val="FF0000"/>
                <w:kern w:val="0"/>
                <w:sz w:val="24"/>
                <w:szCs w:val="24"/>
                <w:lang w:val="en-US" w:eastAsia="zh-CN" w:bidi="ar-SA"/>
              </w:rPr>
            </w:pPr>
            <w:r>
              <w:rPr>
                <w:rFonts w:hint="eastAsia"/>
              </w:rPr>
              <w:t>L0412</w:t>
            </w:r>
          </w:p>
        </w:tc>
        <w:tc>
          <w:tcPr>
            <w:tcW w:w="2470" w:type="dxa"/>
            <w:shd w:val="clear" w:color="auto" w:fill="auto"/>
            <w:vAlign w:val="center"/>
          </w:tcPr>
          <w:p>
            <w:pPr>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诚实守信：为人诚实，信守承诺，尽职尽责。</w:t>
            </w:r>
          </w:p>
        </w:tc>
        <w:tc>
          <w:tcPr>
            <w:tcW w:w="2199" w:type="dxa"/>
            <w:shd w:val="clear" w:color="auto" w:fill="auto"/>
            <w:vAlign w:val="top"/>
          </w:tcPr>
          <w:p>
            <w:pPr>
              <w:snapToGrid w:val="0"/>
              <w:spacing w:line="288" w:lineRule="auto"/>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eastAsia="zh-CN"/>
              </w:rPr>
              <w:t>老师课上要求学生课后到图书馆借阅书籍并根据参考资料认真写作读书笔记</w:t>
            </w:r>
          </w:p>
        </w:tc>
        <w:tc>
          <w:tcPr>
            <w:tcW w:w="1276" w:type="dxa"/>
            <w:shd w:val="clear" w:color="auto" w:fill="auto"/>
            <w:vAlign w:val="top"/>
          </w:tcPr>
          <w:p>
            <w:pPr>
              <w:snapToGrid w:val="0"/>
              <w:spacing w:line="288" w:lineRule="auto"/>
              <w:jc w:val="center"/>
              <w:rPr>
                <w:rFonts w:ascii="宋体" w:hAnsi="宋体" w:cs="宋体"/>
                <w:color w:val="000000"/>
                <w:kern w:val="0"/>
                <w:sz w:val="20"/>
                <w:szCs w:val="20"/>
              </w:rPr>
            </w:pPr>
          </w:p>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平台学习</w:t>
            </w:r>
          </w:p>
          <w:p>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随堂测</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p>
      <w:pPr>
        <w:snapToGrid w:val="0"/>
        <w:spacing w:line="288" w:lineRule="auto"/>
        <w:ind w:firstLine="400" w:firstLineChars="200"/>
        <w:rPr>
          <w:rFonts w:ascii="宋体" w:hAnsi="宋体"/>
          <w:sz w:val="20"/>
          <w:szCs w:val="20"/>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w:t>
      </w:r>
      <w:r>
        <w:rPr>
          <w:rFonts w:hint="eastAsia" w:ascii="宋体" w:hAnsi="宋体"/>
          <w:sz w:val="20"/>
          <w:szCs w:val="20"/>
        </w:rPr>
        <w:t>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p>
      <w:pPr>
        <w:snapToGrid w:val="0"/>
        <w:spacing w:line="288" w:lineRule="auto"/>
        <w:rPr>
          <w:rFonts w:ascii="宋体" w:hAnsi="宋体"/>
          <w:sz w:val="20"/>
          <w:szCs w:val="20"/>
        </w:rPr>
      </w:pPr>
    </w:p>
    <w:p>
      <w:pPr>
        <w:snapToGrid w:val="0"/>
        <w:spacing w:line="288" w:lineRule="auto"/>
        <w:ind w:firstLine="420" w:firstLineChars="200"/>
        <w:rPr>
          <w:rFonts w:hint="eastAsia" w:ascii="宋体" w:hAnsi="宋体"/>
          <w:kern w:val="0"/>
          <w:sz w:val="21"/>
          <w:szCs w:val="21"/>
          <w:lang w:eastAsia="zh-CN"/>
        </w:rPr>
      </w:pPr>
      <w:r>
        <w:rPr>
          <w:rFonts w:hint="eastAsia" w:ascii="宋体" w:hAnsi="宋体"/>
          <w:kern w:val="0"/>
          <w:sz w:val="21"/>
          <w:szCs w:val="21"/>
          <w:lang w:eastAsia="zh-CN"/>
        </w:rPr>
        <w:t>绪论：沟通与交流绪论</w:t>
      </w:r>
    </w:p>
    <w:p>
      <w:pPr>
        <w:snapToGrid w:val="0"/>
        <w:spacing w:line="288" w:lineRule="auto"/>
        <w:ind w:firstLine="420" w:firstLineChars="200"/>
        <w:rPr>
          <w:rFonts w:hint="eastAsia" w:ascii="宋体" w:hAnsi="宋体"/>
          <w:kern w:val="0"/>
          <w:sz w:val="21"/>
          <w:szCs w:val="21"/>
          <w:lang w:eastAsia="zh-CN"/>
        </w:rPr>
      </w:pPr>
      <w:r>
        <w:rPr>
          <w:rFonts w:hint="eastAsia" w:ascii="宋体" w:hAnsi="宋体"/>
          <w:kern w:val="0"/>
          <w:sz w:val="21"/>
          <w:szCs w:val="21"/>
          <w:lang w:eastAsia="zh-CN"/>
        </w:rPr>
        <w:t>让学生知道这门课程的教学内容和教学计划，以及考核方式，了解这门课的要求。理解沟通与交流在人际交往中的重要作用，通过学习课程内容，能够运用所学习的知识，提高自己的沟通与交流的能力。</w:t>
      </w:r>
    </w:p>
    <w:p>
      <w:pPr>
        <w:keepNext w:val="0"/>
        <w:keepLines w:val="0"/>
        <w:pageBreakBefore w:val="0"/>
        <w:widowControl w:val="0"/>
        <w:kinsoku/>
        <w:wordWrap/>
        <w:overflowPunct/>
        <w:topLinePunct w:val="0"/>
        <w:autoSpaceDE/>
        <w:autoSpaceDN/>
        <w:bidi w:val="0"/>
        <w:adjustRightInd/>
        <w:snapToGrid w:val="0"/>
        <w:spacing w:before="313" w:beforeLines="100" w:line="288" w:lineRule="auto"/>
        <w:ind w:left="0" w:leftChars="0"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第一单元：沟通技巧</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知道：倾听、反馈、赞美、批评、拒绝、提问、沟通中的障碍、非语言沟通、跨文化沟通、沟通礼仪。理解：有效的沟通技巧对于提高沟通效果的积极作用。分析：自己在日常生活中怎样运用了这些沟通技巧。综合：学习并了解有效的沟通技巧，运用并提高自己的沟通能力，这是本单元的难点。评价：反思自己运用有效沟通技巧的效果。</w:t>
      </w:r>
    </w:p>
    <w:p>
      <w:pPr>
        <w:keepNext w:val="0"/>
        <w:keepLines w:val="0"/>
        <w:pageBreakBefore w:val="0"/>
        <w:widowControl w:val="0"/>
        <w:kinsoku/>
        <w:wordWrap/>
        <w:overflowPunct/>
        <w:topLinePunct w:val="0"/>
        <w:autoSpaceDE/>
        <w:autoSpaceDN/>
        <w:bidi w:val="0"/>
        <w:adjustRightInd/>
        <w:snapToGrid w:val="0"/>
        <w:spacing w:before="313" w:beforeLines="100" w:line="288" w:lineRule="auto"/>
        <w:ind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第二单元：日常沟通</w:t>
      </w:r>
    </w:p>
    <w:p>
      <w:pPr>
        <w:snapToGrid w:val="0"/>
        <w:spacing w:line="288" w:lineRule="auto"/>
        <w:ind w:firstLine="420" w:firstLineChars="200"/>
        <w:rPr>
          <w:rFonts w:hint="eastAsia" w:ascii="宋体" w:hAnsi="宋体"/>
          <w:kern w:val="0"/>
          <w:sz w:val="21"/>
          <w:szCs w:val="21"/>
          <w:lang w:eastAsia="zh-CN"/>
        </w:rPr>
      </w:pPr>
      <w:r>
        <w:rPr>
          <w:rFonts w:hint="eastAsia" w:ascii="宋体" w:hAnsi="宋体"/>
          <w:kern w:val="0"/>
          <w:sz w:val="21"/>
          <w:szCs w:val="21"/>
          <w:lang w:eastAsia="zh-CN"/>
        </w:rPr>
        <w:t>知道：交友沟通与交流、与父母沟通与交流、与自己的沟通与交流、现代沟通与交流的方法和原则。理解：与不同的交往对象，运用不同的交流方式，要注意哪些原则和方法，才能有更好的沟通效果。运用：适合自己的方式方法，与人沟通与交流，收到更好的沟通效果。分析：怎样才是适合的沟通方式方法，怎样才能提高自己的沟通能力。</w:t>
      </w:r>
      <w:r>
        <w:rPr>
          <w:rFonts w:hint="eastAsia" w:ascii="宋体" w:hAnsi="宋体"/>
          <w:kern w:val="0"/>
          <w:sz w:val="21"/>
          <w:szCs w:val="21"/>
          <w:lang w:val="en-US" w:eastAsia="zh-CN"/>
        </w:rPr>
        <w:t xml:space="preserve"> </w:t>
      </w:r>
      <w:r>
        <w:rPr>
          <w:rFonts w:hint="eastAsia" w:ascii="宋体" w:hAnsi="宋体"/>
          <w:kern w:val="0"/>
          <w:sz w:val="21"/>
          <w:szCs w:val="21"/>
          <w:lang w:eastAsia="zh-CN"/>
        </w:rPr>
        <w:t>综合：与不同的交往对象进行沟通，恰当运用沟通技巧，有效自己提高沟通能力，这是本单元的难点。评价：客观评价自己在日常与人沟通中，效果怎样，如何提高自己的沟通能力。</w:t>
      </w:r>
    </w:p>
    <w:p>
      <w:pPr>
        <w:keepNext w:val="0"/>
        <w:keepLines w:val="0"/>
        <w:pageBreakBefore w:val="0"/>
        <w:widowControl w:val="0"/>
        <w:kinsoku/>
        <w:wordWrap/>
        <w:overflowPunct/>
        <w:topLinePunct w:val="0"/>
        <w:autoSpaceDE/>
        <w:autoSpaceDN/>
        <w:bidi w:val="0"/>
        <w:adjustRightInd/>
        <w:snapToGrid w:val="0"/>
        <w:spacing w:before="313" w:beforeLines="100" w:line="288" w:lineRule="auto"/>
        <w:ind w:firstLine="420" w:firstLineChars="200"/>
        <w:textAlignment w:val="auto"/>
        <w:rPr>
          <w:rFonts w:hint="eastAsia" w:ascii="宋体" w:hAnsi="宋体"/>
          <w:kern w:val="0"/>
          <w:sz w:val="21"/>
          <w:szCs w:val="21"/>
          <w:lang w:eastAsia="zh-CN"/>
        </w:rPr>
      </w:pPr>
      <w:r>
        <w:rPr>
          <w:rFonts w:hint="eastAsia" w:ascii="宋体" w:hAnsi="宋体"/>
          <w:kern w:val="0"/>
          <w:sz w:val="21"/>
          <w:szCs w:val="21"/>
          <w:lang w:eastAsia="zh-CN"/>
        </w:rPr>
        <w:t>第三单元：当众讲话的沟通与交流</w:t>
      </w:r>
    </w:p>
    <w:p>
      <w:pPr>
        <w:keepNext w:val="0"/>
        <w:keepLines w:val="0"/>
        <w:pageBreakBefore w:val="0"/>
        <w:widowControl/>
        <w:kinsoku/>
        <w:wordWrap/>
        <w:overflowPunct/>
        <w:topLinePunct w:val="0"/>
        <w:autoSpaceDE/>
        <w:autoSpaceDN/>
        <w:bidi w:val="0"/>
        <w:adjustRightInd/>
        <w:snapToGrid/>
        <w:ind w:firstLine="315" w:firstLineChars="150"/>
        <w:jc w:val="left"/>
        <w:textAlignment w:val="auto"/>
        <w:rPr>
          <w:rFonts w:hint="eastAsia" w:ascii="宋体" w:hAnsi="宋体"/>
          <w:kern w:val="0"/>
          <w:sz w:val="21"/>
          <w:szCs w:val="21"/>
          <w:lang w:eastAsia="zh-CN"/>
        </w:rPr>
      </w:pPr>
      <w:r>
        <w:rPr>
          <w:rFonts w:hint="eastAsia" w:ascii="宋体" w:hAnsi="宋体"/>
          <w:kern w:val="0"/>
          <w:sz w:val="21"/>
          <w:szCs w:val="21"/>
          <w:lang w:eastAsia="zh-CN"/>
        </w:rPr>
        <w:t>知道：演讲、谈判、辩论的沟通与交流。按给出的主题或自选的主题准备材料，在限定的时间内进行演讲；演讲前的准备；演讲主题、选材和讲稿的设计；演讲开场、主体和结束以及演讲的语言技巧；</w:t>
      </w:r>
      <w:r>
        <w:rPr>
          <w:rFonts w:hint="eastAsia" w:ascii="宋体" w:hAnsi="宋体"/>
          <w:kern w:val="0"/>
          <w:sz w:val="21"/>
          <w:szCs w:val="21"/>
          <w:lang w:val="en-US" w:eastAsia="zh-CN"/>
        </w:rPr>
        <w:t>谈判是一种最具挑战压力的沟通形式，是通过平等对话、接触来达到目标的过程。谈判是有关妥协，而非输赢的。妥协就是牺牲部分你想要的东西，一边与你的谈判对手达成双方都可以接受的协议。</w:t>
      </w:r>
      <w:r>
        <w:rPr>
          <w:rFonts w:hint="eastAsia" w:ascii="宋体" w:hAnsi="宋体"/>
          <w:kern w:val="0"/>
          <w:sz w:val="21"/>
          <w:szCs w:val="21"/>
          <w:lang w:eastAsia="zh-CN"/>
        </w:rPr>
        <w:t>辩论是通过观点交锋展现思维与口才、学识与阅历的最佳平台。</w:t>
      </w:r>
      <w:r>
        <w:rPr>
          <w:rFonts w:hint="eastAsia" w:ascii="宋体" w:hAnsi="宋体"/>
          <w:kern w:val="0"/>
          <w:sz w:val="21"/>
          <w:szCs w:val="21"/>
          <w:lang w:val="en-US" w:eastAsia="zh-CN"/>
        </w:rPr>
        <w:t>学习辩论的</w:t>
      </w:r>
      <w:r>
        <w:rPr>
          <w:rFonts w:hint="eastAsia" w:ascii="宋体" w:hAnsi="宋体"/>
          <w:kern w:val="0"/>
          <w:sz w:val="21"/>
          <w:szCs w:val="21"/>
          <w:lang w:eastAsia="zh-CN"/>
        </w:rPr>
        <w:t>基础理论、环节拆解、类型分析的顺序，分别阐述了辩论的定义、基本态度、能力培养、组织方式，辩论中的立论、质询、反驳和总结，以及事实之辩、价值之辩、政策之辩和哲理之辩这四种最主要的辩论类型。</w:t>
      </w:r>
    </w:p>
    <w:p>
      <w:pPr>
        <w:keepNext w:val="0"/>
        <w:keepLines w:val="0"/>
        <w:pageBreakBefore w:val="0"/>
        <w:widowControl/>
        <w:kinsoku/>
        <w:wordWrap/>
        <w:overflowPunct/>
        <w:topLinePunct w:val="0"/>
        <w:autoSpaceDE/>
        <w:autoSpaceDN/>
        <w:bidi w:val="0"/>
        <w:adjustRightInd/>
        <w:snapToGrid/>
        <w:ind w:firstLine="315" w:firstLineChars="150"/>
        <w:jc w:val="left"/>
        <w:textAlignment w:val="auto"/>
        <w:rPr>
          <w:rFonts w:hint="eastAsia" w:ascii="宋体" w:hAnsi="宋体"/>
          <w:kern w:val="0"/>
          <w:sz w:val="21"/>
          <w:szCs w:val="21"/>
          <w:lang w:eastAsia="zh-CN"/>
        </w:rPr>
      </w:pPr>
      <w:r>
        <w:rPr>
          <w:rFonts w:hint="eastAsia" w:ascii="宋体" w:hAnsi="宋体"/>
          <w:kern w:val="0"/>
          <w:sz w:val="21"/>
          <w:szCs w:val="21"/>
          <w:lang w:eastAsia="zh-CN"/>
        </w:rPr>
        <w:t>理解：在日常与人沟通与交流中，往往要有当众讲话表达自己的思想与观点的时候，为了更好地清晰地表达自己，我们需要锻炼自己当众讲话的能力。</w:t>
      </w:r>
    </w:p>
    <w:p>
      <w:pPr>
        <w:keepNext w:val="0"/>
        <w:keepLines w:val="0"/>
        <w:pageBreakBefore w:val="0"/>
        <w:widowControl/>
        <w:kinsoku/>
        <w:wordWrap/>
        <w:overflowPunct/>
        <w:topLinePunct w:val="0"/>
        <w:autoSpaceDE/>
        <w:autoSpaceDN/>
        <w:bidi w:val="0"/>
        <w:adjustRightInd/>
        <w:snapToGrid/>
        <w:ind w:firstLine="315" w:firstLineChars="150"/>
        <w:jc w:val="left"/>
        <w:textAlignment w:val="auto"/>
        <w:rPr>
          <w:rFonts w:hint="eastAsia" w:ascii="宋体" w:hAnsi="宋体"/>
          <w:kern w:val="0"/>
          <w:sz w:val="21"/>
          <w:szCs w:val="21"/>
          <w:lang w:eastAsia="zh-CN"/>
        </w:rPr>
      </w:pPr>
      <w:r>
        <w:rPr>
          <w:rFonts w:hint="eastAsia" w:ascii="宋体" w:hAnsi="宋体"/>
          <w:kern w:val="0"/>
          <w:sz w:val="21"/>
          <w:szCs w:val="21"/>
          <w:lang w:eastAsia="zh-CN"/>
        </w:rPr>
        <w:t>运用：演讲、谈判、辩论的方法和技巧，进行有主题的当众讲话的训练。</w:t>
      </w:r>
    </w:p>
    <w:p>
      <w:pPr>
        <w:keepNext w:val="0"/>
        <w:keepLines w:val="0"/>
        <w:pageBreakBefore w:val="0"/>
        <w:widowControl/>
        <w:kinsoku/>
        <w:wordWrap/>
        <w:overflowPunct/>
        <w:topLinePunct w:val="0"/>
        <w:autoSpaceDE/>
        <w:autoSpaceDN/>
        <w:bidi w:val="0"/>
        <w:adjustRightInd/>
        <w:snapToGrid/>
        <w:ind w:firstLine="315" w:firstLineChars="150"/>
        <w:jc w:val="left"/>
        <w:textAlignment w:val="auto"/>
        <w:rPr>
          <w:rFonts w:hint="eastAsia" w:ascii="宋体" w:hAnsi="宋体"/>
          <w:kern w:val="0"/>
          <w:sz w:val="21"/>
          <w:szCs w:val="21"/>
          <w:lang w:eastAsia="zh-CN"/>
        </w:rPr>
      </w:pPr>
      <w:r>
        <w:rPr>
          <w:rFonts w:hint="eastAsia" w:ascii="宋体" w:hAnsi="宋体"/>
          <w:kern w:val="0"/>
          <w:sz w:val="21"/>
          <w:szCs w:val="21"/>
          <w:lang w:eastAsia="zh-CN"/>
        </w:rPr>
        <w:t>分析：自己在参与这些活动中表现情况，进一步提高自己当众讲话的能力。</w:t>
      </w:r>
    </w:p>
    <w:p>
      <w:pPr>
        <w:keepNext w:val="0"/>
        <w:keepLines w:val="0"/>
        <w:pageBreakBefore w:val="0"/>
        <w:widowControl/>
        <w:kinsoku/>
        <w:wordWrap/>
        <w:overflowPunct/>
        <w:topLinePunct w:val="0"/>
        <w:autoSpaceDE/>
        <w:autoSpaceDN/>
        <w:bidi w:val="0"/>
        <w:adjustRightInd/>
        <w:snapToGrid/>
        <w:ind w:firstLine="315" w:firstLineChars="150"/>
        <w:jc w:val="left"/>
        <w:textAlignment w:val="auto"/>
        <w:rPr>
          <w:rFonts w:hint="eastAsia" w:ascii="宋体" w:hAnsi="宋体"/>
          <w:kern w:val="0"/>
          <w:sz w:val="21"/>
          <w:szCs w:val="21"/>
          <w:lang w:eastAsia="zh-CN"/>
        </w:rPr>
      </w:pPr>
      <w:r>
        <w:rPr>
          <w:rFonts w:hint="eastAsia" w:ascii="宋体" w:hAnsi="宋体"/>
          <w:kern w:val="0"/>
          <w:sz w:val="21"/>
          <w:szCs w:val="21"/>
          <w:lang w:eastAsia="zh-CN"/>
        </w:rPr>
        <w:t>综合：演讲、谈判、辩论都是对学生的当众讲话能力的提高和锻炼，这也是对学生能力的一个挑战，也是本单元的难点。能够克服演</w:t>
      </w:r>
      <w:r>
        <w:rPr>
          <w:rFonts w:hint="eastAsia" w:ascii="宋体" w:hAnsi="宋体"/>
          <w:kern w:val="0"/>
          <w:sz w:val="21"/>
          <w:szCs w:val="21"/>
          <w:lang w:val="en-US" w:eastAsia="zh-CN"/>
        </w:rPr>
        <w:t>讲恐惧，掌握讲稿的立意取材、结构设计和语言表达；能够在演讲中流畅、清晰地表达自己的思想；以及掌握演讲中的非言辞语言技巧和控场技巧。辩论，它指</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"https://baike.baidu.com/item/%E5%BD%BC%E6%AD%A4/81942"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彼此</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用一定的理由来</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"https://baike.baidu.com/item/%E8%AF%B4%E6%98%8E/39260"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说明</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自己对</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"https://baike.baidu.com/item/%E4%BA%8B%E7%89%A9/1693084"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事物</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或问题的</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"https://baike.baidu.com/item/%E8%A7%81%E8%A7%A3/1079985"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见解</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，揭露对方的</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"https://baike.baidu.com/item/%E7%9F%9B%E7%9B%BE/9138469"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矛盾</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，以便最后得到</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"https://baike.baidu.com/item/%E5%85%B1%E5%90%8C/33162"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共同</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的认识和</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"https://baike.baidu.com/item/%E6%84%8F%E8%A7%81/39914"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意见</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；辩论旨在培养人的</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"https://baike.baidu.com/item/%E6%80%9D%E7%BB%B4%E8%83%BD%E5%8A%9B/1859428"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思维能力</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。开阔学生思维，锻炼辩者的口头表达能力，查找资料的能力，搜索的能力，统筹分析的能力等。让辩者开动脑筋，从多方面去考虑问题，发散思维。加强辩论团体之间的默契、团结协助能力，增加</w:t>
      </w:r>
      <w:r>
        <w:rPr>
          <w:rFonts w:hint="default" w:ascii="宋体" w:hAnsi="宋体"/>
          <w:kern w:val="0"/>
          <w:sz w:val="21"/>
          <w:szCs w:val="21"/>
          <w:lang w:val="en-US" w:eastAsia="zh-CN"/>
        </w:rPr>
        <w:fldChar w:fldCharType="begin"/>
      </w:r>
      <w:r>
        <w:rPr>
          <w:rFonts w:hint="default" w:ascii="宋体" w:hAnsi="宋体"/>
          <w:kern w:val="0"/>
          <w:sz w:val="21"/>
          <w:szCs w:val="21"/>
          <w:lang w:val="en-US" w:eastAsia="zh-CN"/>
        </w:rPr>
        <w:instrText xml:space="preserve"> HYPERLINK "https://baike.baidu.com/item/%E5%8F%8B%E8%B0%8A/6171" \t "https://baike.baidu.com/item/%E8%BE%A9%E8%AE%BA/_blank" </w:instrText>
      </w:r>
      <w:r>
        <w:rPr>
          <w:rFonts w:hint="default" w:ascii="宋体" w:hAnsi="宋体"/>
          <w:kern w:val="0"/>
          <w:sz w:val="21"/>
          <w:szCs w:val="21"/>
          <w:lang w:val="en-US" w:eastAsia="zh-CN"/>
        </w:rPr>
        <w:fldChar w:fldCharType="separate"/>
      </w:r>
      <w:r>
        <w:rPr>
          <w:rFonts w:hint="default" w:ascii="宋体" w:hAnsi="宋体"/>
          <w:kern w:val="0"/>
          <w:sz w:val="21"/>
          <w:szCs w:val="21"/>
          <w:lang w:val="en-US" w:eastAsia="zh-CN"/>
        </w:rPr>
        <w:t>友谊</w:t>
      </w:r>
      <w:r>
        <w:rPr>
          <w:rFonts w:hint="default" w:ascii="宋体" w:hAnsi="宋体"/>
          <w:kern w:val="0"/>
          <w:sz w:val="21"/>
          <w:szCs w:val="21"/>
          <w:lang w:val="en-US" w:eastAsia="zh-CN"/>
        </w:rPr>
        <w:fldChar w:fldCharType="end"/>
      </w:r>
      <w:r>
        <w:rPr>
          <w:rFonts w:hint="default" w:ascii="宋体" w:hAnsi="宋体"/>
          <w:kern w:val="0"/>
          <w:sz w:val="21"/>
          <w:szCs w:val="21"/>
          <w:lang w:val="en-US" w:eastAsia="zh-CN"/>
        </w:rPr>
        <w:t>。</w:t>
      </w:r>
      <w:r>
        <w:rPr>
          <w:rFonts w:hint="eastAsia" w:ascii="宋体" w:hAnsi="宋体"/>
          <w:kern w:val="0"/>
          <w:sz w:val="21"/>
          <w:szCs w:val="21"/>
          <w:lang w:val="en-US" w:eastAsia="zh-CN"/>
        </w:rPr>
        <w:t>“谈判是一种思维方式”。谈判学这门课所讲授的谈判概念、理论与技巧是每个人在生活、学习和工作中都应该具备的基本知识。最佳的谈判就是双方都非常满意的谈判——达成双赢协议，谈判双方在寻找对自己最大利益的方案的同时，也满足对方的最大利益的需要。生活中处处有谈判，如购物等，培养谈判的自觉性，习惯于以“双赢共胜”的思路来处理问题，使自己的生活更美好。</w:t>
      </w:r>
      <w:r>
        <w:rPr>
          <w:rFonts w:hint="eastAsia" w:ascii="宋体" w:hAnsi="宋体"/>
          <w:kern w:val="0"/>
          <w:sz w:val="21"/>
          <w:szCs w:val="21"/>
          <w:lang w:eastAsia="zh-CN"/>
        </w:rPr>
        <w:t>评价：这一个单元的内容难度大，任务重，学生可以在这个活动中，认识到的能力和不足，以不断提高自己的沟通与表达的能力。</w:t>
      </w:r>
    </w:p>
    <w:p>
      <w:pPr>
        <w:snapToGrid w:val="0"/>
        <w:spacing w:line="288" w:lineRule="auto"/>
        <w:ind w:firstLine="420" w:firstLineChars="200"/>
        <w:rPr>
          <w:rFonts w:hint="eastAsia" w:ascii="宋体" w:hAnsi="宋体"/>
          <w:kern w:val="0"/>
          <w:sz w:val="21"/>
          <w:szCs w:val="21"/>
          <w:lang w:eastAsia="zh-CN"/>
        </w:rPr>
      </w:pPr>
    </w:p>
    <w:p>
      <w:pPr>
        <w:widowControl/>
        <w:spacing w:beforeLines="50" w:afterLines="50" w:line="288" w:lineRule="auto"/>
        <w:ind w:firstLine="360" w:firstLineChars="150"/>
        <w:jc w:val="left"/>
        <w:rPr>
          <w:rFonts w:hint="eastAsia" w:ascii="黑体" w:hAnsi="宋体" w:eastAsia="黑体"/>
          <w:sz w:val="24"/>
          <w:lang w:eastAsia="zh-CN"/>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highlight w:val="none"/>
                <w:lang w:eastAsia="zh-CN"/>
              </w:rPr>
            </w:pPr>
            <w:r>
              <w:rPr>
                <w:rFonts w:hint="eastAsia" w:asciiTheme="minorEastAsia" w:hAnsiTheme="minorEastAsia" w:eastAsiaTheme="minorEastAsia" w:cstheme="minorEastAsia"/>
                <w:bCs/>
                <w:color w:val="000000"/>
                <w:szCs w:val="20"/>
                <w:lang w:val="en-US" w:eastAsia="zh-CN"/>
              </w:rPr>
              <w:t>平台学习与课堂表现</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eastAsia="宋体"/>
                <w:bCs/>
                <w:color w:val="000000"/>
                <w:szCs w:val="20"/>
                <w:lang w:val="en-US" w:eastAsia="zh-CN"/>
              </w:rPr>
              <w:t>3</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highlight w:val="none"/>
                <w:lang w:eastAsia="zh-CN"/>
              </w:rPr>
            </w:pPr>
            <w:r>
              <w:rPr>
                <w:rFonts w:hint="eastAsia" w:asciiTheme="minorEastAsia" w:hAnsiTheme="minorEastAsia" w:eastAsiaTheme="minorEastAsia" w:cstheme="minorEastAsia"/>
                <w:bCs/>
                <w:color w:val="000000"/>
                <w:szCs w:val="20"/>
              </w:rPr>
              <w:t>实际沟通案例分析</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Theme="minorEastAsia" w:hAnsiTheme="minorEastAsia" w:eastAsiaTheme="minorEastAsia"/>
                <w:bCs/>
                <w:color w:val="000000"/>
                <w:szCs w:val="20"/>
                <w:lang w:val="en-US" w:eastAsia="zh-CN"/>
              </w:rPr>
              <w:t>3</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highlight w:val="none"/>
                <w:lang w:eastAsia="zh-CN"/>
              </w:rPr>
            </w:pPr>
            <w:r>
              <w:rPr>
                <w:rFonts w:hint="eastAsia" w:ascii="宋体" w:hAnsi="宋体" w:eastAsia="宋体"/>
                <w:bCs/>
                <w:color w:val="000000"/>
                <w:szCs w:val="20"/>
                <w:lang w:eastAsia="zh-CN"/>
              </w:rPr>
              <w:t>随堂测</w:t>
            </w:r>
          </w:p>
        </w:tc>
        <w:tc>
          <w:tcPr>
            <w:tcW w:w="1843" w:type="dxa"/>
            <w:shd w:val="clear" w:color="auto" w:fill="auto"/>
            <w:vAlign w:val="top"/>
          </w:tcPr>
          <w:p>
            <w:pPr>
              <w:snapToGrid w:val="0"/>
              <w:spacing w:beforeLines="50" w:afterLines="50"/>
              <w:jc w:val="center"/>
              <w:rPr>
                <w:rFonts w:ascii="宋体" w:hAnsi="宋体"/>
                <w:bCs/>
                <w:color w:val="000000"/>
                <w:szCs w:val="20"/>
                <w:highlight w:val="none"/>
              </w:rPr>
            </w:pPr>
            <w:r>
              <w:rPr>
                <w:rFonts w:hint="eastAsia" w:ascii="宋体" w:hAnsi="宋体" w:eastAsia="宋体"/>
                <w:bCs/>
                <w:color w:val="000000"/>
                <w:szCs w:val="20"/>
                <w:lang w:val="en-US" w:eastAsia="zh-CN"/>
              </w:rPr>
              <w:t>4</w:t>
            </w:r>
            <w:r>
              <w:rPr>
                <w:rFonts w:hint="eastAsia" w:ascii="宋体" w:hAnsi="宋体"/>
                <w:bCs/>
                <w:color w:val="000000"/>
                <w:szCs w:val="20"/>
              </w:rPr>
              <w:t>0%</w:t>
            </w:r>
          </w:p>
        </w:tc>
      </w:tr>
    </w:tbl>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p>
      <w:pPr>
        <w:widowControl/>
        <w:spacing w:beforeLines="50" w:afterLines="50" w:line="288" w:lineRule="auto"/>
        <w:jc w:val="left"/>
        <w:rPr>
          <w:rFonts w:ascii="黑体" w:hAnsi="宋体" w:eastAsia="黑体"/>
          <w:sz w:val="24"/>
          <w:highlight w:val="none"/>
        </w:rPr>
      </w:pPr>
    </w:p>
    <w:p>
      <w:pPr>
        <w:snapToGrid w:val="0"/>
        <w:spacing w:beforeLines="50" w:line="288" w:lineRule="auto"/>
        <w:ind w:firstLine="400" w:firstLineChars="200"/>
        <w:rPr>
          <w:rFonts w:ascii="宋体" w:hAnsi="宋体"/>
          <w:sz w:val="20"/>
          <w:szCs w:val="20"/>
          <w:highlight w:val="none"/>
        </w:rPr>
      </w:pP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”一般为总结性评价, “</w:t>
      </w:r>
      <w:r>
        <w:rPr>
          <w:rFonts w:ascii="宋体" w:hAnsi="宋体"/>
          <w:sz w:val="20"/>
          <w:szCs w:val="20"/>
          <w:highlight w:val="none"/>
        </w:rPr>
        <w:t>X</w:t>
      </w:r>
      <w:r>
        <w:rPr>
          <w:rFonts w:hint="eastAsia" w:ascii="宋体" w:hAnsi="宋体"/>
          <w:sz w:val="20"/>
          <w:szCs w:val="20"/>
          <w:highlight w:val="none"/>
        </w:rPr>
        <w:t>”为过程性评价，“</w:t>
      </w:r>
      <w:r>
        <w:rPr>
          <w:rFonts w:ascii="宋体" w:hAnsi="宋体"/>
          <w:sz w:val="20"/>
          <w:szCs w:val="20"/>
          <w:highlight w:val="none"/>
        </w:rPr>
        <w:t>X</w:t>
      </w:r>
      <w:r>
        <w:rPr>
          <w:rFonts w:hint="eastAsia" w:ascii="宋体" w:hAnsi="宋体"/>
          <w:sz w:val="20"/>
          <w:szCs w:val="20"/>
          <w:highlight w:val="none"/>
        </w:rPr>
        <w:t>”的</w:t>
      </w:r>
      <w:r>
        <w:rPr>
          <w:rFonts w:hint="eastAsia"/>
          <w:color w:val="000000"/>
          <w:sz w:val="20"/>
          <w:szCs w:val="20"/>
          <w:highlight w:val="none"/>
        </w:rPr>
        <w:t>次数一般不少于3次，无论是</w:t>
      </w: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”、还是“</w:t>
      </w:r>
      <w:r>
        <w:rPr>
          <w:rFonts w:ascii="宋体" w:hAnsi="宋体"/>
          <w:sz w:val="20"/>
          <w:szCs w:val="20"/>
          <w:highlight w:val="none"/>
        </w:rPr>
        <w:t>X</w:t>
      </w:r>
      <w:r>
        <w:rPr>
          <w:rFonts w:hint="eastAsia" w:ascii="宋体" w:hAnsi="宋体"/>
          <w:sz w:val="20"/>
          <w:szCs w:val="20"/>
          <w:highlight w:val="none"/>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highlight w:val="none"/>
        </w:rPr>
        <w:t>常用</w:t>
      </w:r>
      <w:r>
        <w:rPr>
          <w:color w:val="000000"/>
          <w:sz w:val="20"/>
          <w:szCs w:val="20"/>
          <w:highlight w:val="none"/>
        </w:rPr>
        <w:t>的</w:t>
      </w:r>
      <w:r>
        <w:rPr>
          <w:rFonts w:hint="eastAsia"/>
          <w:color w:val="000000"/>
          <w:sz w:val="20"/>
          <w:szCs w:val="20"/>
          <w:highlight w:val="none"/>
        </w:rPr>
        <w:t>评价</w:t>
      </w:r>
      <w:r>
        <w:rPr>
          <w:color w:val="000000"/>
          <w:sz w:val="20"/>
          <w:szCs w:val="20"/>
          <w:highlight w:val="none"/>
        </w:rPr>
        <w:t>方式</w:t>
      </w:r>
      <w:r>
        <w:rPr>
          <w:rFonts w:hint="eastAsia"/>
          <w:color w:val="000000"/>
          <w:sz w:val="20"/>
          <w:szCs w:val="20"/>
          <w:highlight w:val="none"/>
        </w:rPr>
        <w:t>有</w:t>
      </w:r>
      <w:r>
        <w:rPr>
          <w:color w:val="000000"/>
          <w:sz w:val="20"/>
          <w:szCs w:val="20"/>
          <w:highlight w:val="none"/>
        </w:rPr>
        <w:t>：</w:t>
      </w:r>
      <w:r>
        <w:rPr>
          <w:rFonts w:hint="eastAsia" w:ascii="宋体" w:hAnsi="宋体"/>
          <w:sz w:val="20"/>
          <w:szCs w:val="20"/>
          <w:highlight w:val="none"/>
        </w:rPr>
        <w:t>课堂展示、口头</w:t>
      </w:r>
      <w:r>
        <w:rPr>
          <w:rFonts w:ascii="宋体" w:hAnsi="宋体"/>
          <w:sz w:val="20"/>
          <w:szCs w:val="20"/>
          <w:highlight w:val="none"/>
        </w:rPr>
        <w:t>报告、</w:t>
      </w:r>
      <w:r>
        <w:rPr>
          <w:rFonts w:hint="eastAsia" w:ascii="宋体" w:hAnsi="宋体"/>
          <w:sz w:val="20"/>
          <w:szCs w:val="20"/>
          <w:highlight w:val="none"/>
        </w:rPr>
        <w:t>论文、日志、反思</w:t>
      </w:r>
      <w:r>
        <w:rPr>
          <w:rFonts w:ascii="宋体" w:hAnsi="宋体"/>
          <w:sz w:val="20"/>
          <w:szCs w:val="20"/>
          <w:highlight w:val="none"/>
        </w:rPr>
        <w:t>、</w:t>
      </w:r>
      <w:r>
        <w:rPr>
          <w:rFonts w:hint="eastAsia" w:ascii="宋体" w:hAnsi="宋体"/>
          <w:sz w:val="20"/>
          <w:szCs w:val="20"/>
          <w:highlight w:val="none"/>
        </w:rPr>
        <w:t>调查报告、个人项目报告、小组</w:t>
      </w:r>
      <w:r>
        <w:rPr>
          <w:rFonts w:ascii="宋体" w:hAnsi="宋体"/>
          <w:sz w:val="20"/>
          <w:szCs w:val="20"/>
          <w:highlight w:val="none"/>
        </w:rPr>
        <w:t>项目报告、</w:t>
      </w:r>
      <w:r>
        <w:rPr>
          <w:rFonts w:hint="eastAsia" w:ascii="宋体" w:hAnsi="宋体"/>
          <w:sz w:val="20"/>
          <w:szCs w:val="20"/>
          <w:highlight w:val="none"/>
        </w:rPr>
        <w:t>实验报告、读书报告、作品（选集</w:t>
      </w:r>
      <w:r>
        <w:rPr>
          <w:rFonts w:ascii="宋体" w:hAnsi="宋体"/>
          <w:sz w:val="20"/>
          <w:szCs w:val="20"/>
          <w:highlight w:val="none"/>
        </w:rPr>
        <w:t>）</w:t>
      </w:r>
      <w:r>
        <w:rPr>
          <w:rFonts w:hint="eastAsia" w:ascii="宋体" w:hAnsi="宋体"/>
          <w:sz w:val="20"/>
          <w:szCs w:val="20"/>
          <w:highlight w:val="none"/>
        </w:rPr>
        <w:t>、口试、课堂小测验、</w:t>
      </w:r>
      <w:r>
        <w:rPr>
          <w:rFonts w:ascii="宋体" w:hAnsi="宋体"/>
          <w:sz w:val="20"/>
          <w:szCs w:val="20"/>
          <w:highlight w:val="none"/>
        </w:rPr>
        <w:t>期终闭卷考、期终开卷考、</w:t>
      </w:r>
      <w:r>
        <w:rPr>
          <w:rFonts w:hint="eastAsia" w:ascii="宋体" w:hAnsi="宋体"/>
          <w:sz w:val="20"/>
          <w:szCs w:val="20"/>
          <w:highlight w:val="none"/>
        </w:rPr>
        <w:t>工作</w:t>
      </w:r>
      <w:r>
        <w:rPr>
          <w:rFonts w:ascii="宋体" w:hAnsi="宋体"/>
          <w:sz w:val="20"/>
          <w:szCs w:val="20"/>
          <w:highlight w:val="none"/>
        </w:rPr>
        <w:t>现场评估、</w:t>
      </w:r>
      <w:r>
        <w:rPr>
          <w:rFonts w:hint="eastAsia" w:ascii="宋体" w:hAnsi="宋体"/>
          <w:sz w:val="20"/>
          <w:szCs w:val="20"/>
          <w:highlight w:val="none"/>
        </w:rPr>
        <w:t>自我</w:t>
      </w:r>
      <w:r>
        <w:rPr>
          <w:rFonts w:ascii="宋体" w:hAnsi="宋体"/>
          <w:sz w:val="20"/>
          <w:szCs w:val="20"/>
          <w:highlight w:val="none"/>
        </w:rPr>
        <w:t>评估、</w:t>
      </w:r>
      <w:r>
        <w:rPr>
          <w:rFonts w:hint="eastAsia" w:ascii="宋体" w:hAnsi="宋体"/>
          <w:sz w:val="20"/>
          <w:szCs w:val="20"/>
          <w:highlight w:val="none"/>
        </w:rPr>
        <w:t>同辈</w:t>
      </w:r>
      <w:r>
        <w:rPr>
          <w:rFonts w:ascii="宋体" w:hAnsi="宋体"/>
          <w:sz w:val="20"/>
          <w:szCs w:val="20"/>
          <w:highlight w:val="none"/>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pPr>
      <w:r>
        <w:rPr>
          <w:rFonts w:hint="eastAsia"/>
          <w:sz w:val="28"/>
          <w:szCs w:val="28"/>
        </w:rPr>
        <w:t>撰写人：</w:t>
      </w:r>
      <w:r>
        <w:rPr>
          <w:rFonts w:hint="eastAsia"/>
          <w:sz w:val="28"/>
          <w:szCs w:val="28"/>
          <w:lang w:eastAsia="zh-CN"/>
        </w:rPr>
        <w:t>李欣田</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w:t>
      </w:r>
      <w:r>
        <w:rPr>
          <w:rFonts w:hint="eastAsia"/>
          <w:sz w:val="28"/>
          <w:szCs w:val="28"/>
          <w:lang w:val="en-US" w:eastAsia="zh-CN"/>
        </w:rPr>
        <w:t xml:space="preserve">       </w:t>
      </w:r>
      <w:bookmarkStart w:id="1" w:name="_GoBack"/>
      <w:bookmarkEnd w:id="1"/>
      <w:r>
        <w:rPr>
          <w:rFonts w:hint="eastAsia"/>
          <w:sz w:val="28"/>
          <w:szCs w:val="28"/>
        </w:rPr>
        <w:t>审核时间：</w:t>
      </w:r>
      <w:r>
        <w:rPr>
          <w:rFonts w:hint="eastAsia"/>
          <w:sz w:val="28"/>
          <w:szCs w:val="28"/>
          <w:lang w:val="en-US" w:eastAsia="zh-CN"/>
        </w:rPr>
        <w:t>2021年9月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A61BB"/>
    <w:multiLevelType w:val="singleLevel"/>
    <w:tmpl w:val="25FA61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5352"/>
    <w:rsid w:val="00E16D30"/>
    <w:rsid w:val="00E33169"/>
    <w:rsid w:val="00E70904"/>
    <w:rsid w:val="00EF44B1"/>
    <w:rsid w:val="00F35AA0"/>
    <w:rsid w:val="016E63C2"/>
    <w:rsid w:val="024B0C39"/>
    <w:rsid w:val="07482099"/>
    <w:rsid w:val="0A8128A6"/>
    <w:rsid w:val="0B32469B"/>
    <w:rsid w:val="0B856FB8"/>
    <w:rsid w:val="0BF32A1B"/>
    <w:rsid w:val="0D5B7BF1"/>
    <w:rsid w:val="10BD2C22"/>
    <w:rsid w:val="208F69BC"/>
    <w:rsid w:val="22987C80"/>
    <w:rsid w:val="22D04769"/>
    <w:rsid w:val="24192CCC"/>
    <w:rsid w:val="27BA2B4A"/>
    <w:rsid w:val="28004DCF"/>
    <w:rsid w:val="33DA3A7B"/>
    <w:rsid w:val="37115B46"/>
    <w:rsid w:val="39A66CD4"/>
    <w:rsid w:val="3CD52CE1"/>
    <w:rsid w:val="410F2E6A"/>
    <w:rsid w:val="4299511D"/>
    <w:rsid w:val="4430136C"/>
    <w:rsid w:val="45E976B3"/>
    <w:rsid w:val="493D69E5"/>
    <w:rsid w:val="4952462B"/>
    <w:rsid w:val="4A3F77BC"/>
    <w:rsid w:val="4A4E08F9"/>
    <w:rsid w:val="4AB0382B"/>
    <w:rsid w:val="4D124702"/>
    <w:rsid w:val="54737973"/>
    <w:rsid w:val="55842DB9"/>
    <w:rsid w:val="569868B5"/>
    <w:rsid w:val="58826D32"/>
    <w:rsid w:val="58FB5157"/>
    <w:rsid w:val="5B3C13D7"/>
    <w:rsid w:val="611F6817"/>
    <w:rsid w:val="618B0329"/>
    <w:rsid w:val="66CA1754"/>
    <w:rsid w:val="6A766F39"/>
    <w:rsid w:val="6C063747"/>
    <w:rsid w:val="6CE20CE1"/>
    <w:rsid w:val="6DE46E38"/>
    <w:rsid w:val="6F1E65D4"/>
    <w:rsid w:val="6F266C86"/>
    <w:rsid w:val="6F5042C2"/>
    <w:rsid w:val="74316312"/>
    <w:rsid w:val="780F13C8"/>
    <w:rsid w:val="7C385448"/>
    <w:rsid w:val="7CB3663D"/>
    <w:rsid w:val="7F305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5</TotalTime>
  <ScaleCrop>false</ScaleCrop>
  <LinksUpToDate>false</LinksUpToDate>
  <CharactersWithSpaces>1834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2021-09-15T07:32:40Z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64C67126C1584AD387B163BA754271EF</vt:lpwstr>
  </property>
</Properties>
</file>