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spacing w:line="288" w:lineRule="auto"/>
        <w:jc w:val="center"/>
        <w:rPr>
          <w:b/>
          <w:sz w:val="28"/>
          <w:szCs w:val="30"/>
        </w:rPr>
      </w:pPr>
      <w:r>
        <w:rPr>
          <w:rFonts w:hint="eastAsia"/>
          <w:b/>
          <w:sz w:val="28"/>
          <w:szCs w:val="30"/>
        </w:rPr>
        <w:t>【</w:t>
      </w:r>
      <w:r>
        <w:rPr>
          <w:rFonts w:hint="eastAsia"/>
          <w:b/>
          <w:sz w:val="28"/>
          <w:szCs w:val="30"/>
          <w:lang w:val="en-US" w:eastAsia="zh-CN"/>
        </w:rPr>
        <w:t>儿童剧理论与实务</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【Theory and Practice of children's drama】</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1130026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选</w:t>
      </w:r>
      <w:r>
        <w:rPr>
          <w:rFonts w:hint="eastAsia"/>
          <w:color w:val="000000"/>
          <w:sz w:val="20"/>
          <w:szCs w:val="20"/>
        </w:rPr>
        <w:t>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00" w:firstLineChars="200"/>
        <w:rPr>
          <w:rFonts w:hint="eastAsia" w:eastAsia="宋体"/>
          <w:color w:val="000000"/>
          <w:sz w:val="20"/>
          <w:szCs w:val="20"/>
          <w:lang w:eastAsia="zh-CN"/>
        </w:rPr>
      </w:pPr>
      <w:r>
        <w:rPr>
          <w:color w:val="000000"/>
          <w:sz w:val="20"/>
          <w:szCs w:val="20"/>
        </w:rPr>
        <w:t>教材</w:t>
      </w:r>
      <w:r>
        <w:rPr>
          <w:rFonts w:hint="eastAsia"/>
          <w:color w:val="000000"/>
          <w:sz w:val="20"/>
          <w:szCs w:val="20"/>
          <w:lang w:eastAsia="zh-CN"/>
        </w:rPr>
        <w:t>：</w:t>
      </w:r>
    </w:p>
    <w:p>
      <w:pPr>
        <w:snapToGrid w:val="0"/>
        <w:spacing w:line="288" w:lineRule="auto"/>
        <w:ind w:firstLine="400" w:firstLineChars="200"/>
        <w:rPr>
          <w:color w:val="000000"/>
          <w:szCs w:val="21"/>
        </w:rPr>
      </w:pPr>
      <w:r>
        <w:rPr>
          <w:color w:val="000000"/>
          <w:sz w:val="20"/>
          <w:szCs w:val="20"/>
        </w:rPr>
        <w:t>【</w:t>
      </w:r>
      <w:r>
        <w:rPr>
          <w:rFonts w:hint="eastAsia"/>
          <w:color w:val="000000"/>
          <w:sz w:val="20"/>
          <w:szCs w:val="20"/>
          <w:lang w:eastAsia="zh-CN"/>
        </w:rPr>
        <w:t>《</w:t>
      </w:r>
      <w:r>
        <w:rPr>
          <w:rFonts w:hint="eastAsia"/>
          <w:color w:val="000000"/>
          <w:sz w:val="20"/>
          <w:szCs w:val="20"/>
          <w:lang w:val="en-US" w:eastAsia="zh-CN"/>
        </w:rPr>
        <w:t>儿童戏剧教育的理论与实务》林玫君主编 复旦大学出版社，</w:t>
      </w:r>
      <w:r>
        <w:rPr>
          <w:rFonts w:hint="eastAsia"/>
          <w:color w:val="000000"/>
          <w:sz w:val="20"/>
          <w:szCs w:val="20"/>
        </w:rPr>
        <w:t>20</w:t>
      </w:r>
      <w:r>
        <w:rPr>
          <w:rFonts w:hint="eastAsia"/>
          <w:color w:val="000000"/>
          <w:sz w:val="20"/>
          <w:szCs w:val="20"/>
          <w:lang w:val="en-US" w:eastAsia="zh-CN"/>
        </w:rPr>
        <w:t>20年5月</w:t>
      </w:r>
      <w:r>
        <w:rPr>
          <w:rFonts w:hint="eastAsia"/>
          <w:color w:val="000000"/>
          <w:sz w:val="20"/>
          <w:szCs w:val="20"/>
        </w:rPr>
        <w:t>第</w:t>
      </w:r>
      <w:r>
        <w:rPr>
          <w:rFonts w:hint="eastAsia"/>
          <w:color w:val="000000"/>
          <w:sz w:val="20"/>
          <w:szCs w:val="20"/>
          <w:lang w:val="en-US" w:eastAsia="zh-CN"/>
        </w:rPr>
        <w:t>1</w:t>
      </w:r>
      <w:r>
        <w:rPr>
          <w:rFonts w:hint="eastAsia"/>
          <w:color w:val="000000"/>
          <w:sz w:val="20"/>
          <w:szCs w:val="20"/>
        </w:rPr>
        <w:t>版</w:t>
      </w:r>
      <w:r>
        <w:rPr>
          <w:color w:val="000000"/>
          <w:sz w:val="20"/>
          <w:szCs w:val="20"/>
        </w:rPr>
        <w:t>】</w:t>
      </w:r>
    </w:p>
    <w:p>
      <w:pPr>
        <w:snapToGrid w:val="0"/>
        <w:spacing w:line="288" w:lineRule="auto"/>
        <w:ind w:firstLine="400" w:firstLine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pPr>
        <w:snapToGrid w:val="0"/>
        <w:spacing w:line="288" w:lineRule="auto"/>
        <w:ind w:left="399" w:leftChars="190" w:firstLine="0" w:firstLineChars="0"/>
        <w:rPr>
          <w:color w:val="000000"/>
          <w:szCs w:val="21"/>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儿童戏剧教育活动指导——童谣及故事的创意表现》 林玫君主编 复旦大学出版社2020年12月</w:t>
      </w:r>
      <w:r>
        <w:rPr>
          <w:color w:val="000000"/>
          <w:sz w:val="20"/>
          <w:szCs w:val="20"/>
        </w:rPr>
        <w:t>】</w:t>
      </w:r>
    </w:p>
    <w:p>
      <w:pPr>
        <w:snapToGrid w:val="0"/>
        <w:spacing w:line="288" w:lineRule="auto"/>
        <w:ind w:left="599" w:leftChars="190" w:hanging="200" w:hangingChars="100"/>
        <w:rPr>
          <w:rFonts w:hint="eastAsia"/>
          <w:color w:val="000000"/>
          <w:sz w:val="20"/>
          <w:szCs w:val="20"/>
          <w:highlight w:val="none"/>
          <w:lang w:val="en-US" w:eastAsia="zh-CN"/>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儿童戏剧教育活动指导——肢体与声音口语的创意表现》林玫君主编 复旦大学出版社2020年1月</w:t>
      </w:r>
      <w:r>
        <w:rPr>
          <w:color w:val="000000"/>
          <w:sz w:val="20"/>
          <w:szCs w:val="20"/>
        </w:rPr>
        <w:t>】</w:t>
      </w:r>
    </w:p>
    <w:p>
      <w:pPr>
        <w:numPr>
          <w:numId w:val="0"/>
        </w:numPr>
        <w:snapToGrid w:val="0"/>
        <w:spacing w:line="288" w:lineRule="auto"/>
        <w:ind w:firstLine="400" w:firstLineChars="200"/>
        <w:rPr>
          <w:color w:val="000000"/>
          <w:szCs w:val="21"/>
          <w:highlight w:val="none"/>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儿童戏剧》方先义主编 中国人民大学出版社2018年1月</w:t>
      </w:r>
      <w:r>
        <w:rPr>
          <w:color w:val="000000"/>
          <w:sz w:val="20"/>
          <w:szCs w:val="20"/>
          <w:highlight w:val="none"/>
        </w:rPr>
        <w:t>】</w:t>
      </w:r>
    </w:p>
    <w:p>
      <w:pPr>
        <w:adjustRightInd w:val="0"/>
        <w:snapToGrid w:val="0"/>
        <w:spacing w:line="288" w:lineRule="auto"/>
        <w:ind w:firstLine="402" w:firstLineChars="200"/>
        <w:rPr>
          <w:rFonts w:hint="eastAsia"/>
          <w:b/>
          <w:bCs/>
          <w:color w:val="000000"/>
          <w:sz w:val="20"/>
          <w:szCs w:val="20"/>
          <w:highlight w:val="none"/>
          <w:lang w:val="en-US" w:eastAsia="zh-CN"/>
        </w:rPr>
      </w:pPr>
      <w:r>
        <w:rPr>
          <w:rFonts w:hint="eastAsia"/>
          <w:b/>
          <w:bCs/>
          <w:color w:val="000000"/>
          <w:sz w:val="20"/>
          <w:szCs w:val="20"/>
          <w:highlight w:val="none"/>
          <w:lang w:val="en-US" w:eastAsia="zh-CN"/>
        </w:rPr>
        <w:t>课程网站网址：</w:t>
      </w:r>
    </w:p>
    <w:p>
      <w:pPr>
        <w:adjustRightInd w:val="0"/>
        <w:snapToGrid w:val="0"/>
        <w:spacing w:line="288" w:lineRule="auto"/>
        <w:ind w:left="401" w:leftChars="191" w:firstLine="0" w:firstLineChars="0"/>
        <w:rPr>
          <w:rFonts w:hint="eastAsia"/>
          <w:b/>
          <w:bCs/>
          <w:color w:val="000000"/>
          <w:sz w:val="20"/>
          <w:szCs w:val="20"/>
          <w:highlight w:val="none"/>
        </w:rPr>
      </w:pPr>
      <w:r>
        <w:rPr>
          <w:rFonts w:hint="eastAsia"/>
          <w:b/>
          <w:bCs/>
          <w:color w:val="000000"/>
          <w:sz w:val="20"/>
          <w:szCs w:val="20"/>
          <w:highlight w:val="none"/>
        </w:rPr>
        <w:fldChar w:fldCharType="begin"/>
      </w:r>
      <w:r>
        <w:rPr>
          <w:rFonts w:hint="eastAsia"/>
          <w:b/>
          <w:bCs/>
          <w:color w:val="000000"/>
          <w:sz w:val="20"/>
          <w:szCs w:val="20"/>
          <w:highlight w:val="none"/>
        </w:rPr>
        <w:instrText xml:space="preserve"> HYPERLINK "https://mooc2-ans.chaoxing.com/mooc2-ans/mycourse/tch?courseid=228318082&amp;clazzid=62808485&amp;cpi=88669088&amp;enc=cbebfe80acf65e1e07750b3e5b8dbdbe&amp;t=1664240758643" </w:instrText>
      </w:r>
      <w:r>
        <w:rPr>
          <w:rFonts w:hint="eastAsia"/>
          <w:b/>
          <w:bCs/>
          <w:color w:val="000000"/>
          <w:sz w:val="20"/>
          <w:szCs w:val="20"/>
          <w:highlight w:val="none"/>
        </w:rPr>
        <w:fldChar w:fldCharType="separate"/>
      </w:r>
      <w:r>
        <w:rPr>
          <w:rStyle w:val="8"/>
          <w:rFonts w:hint="eastAsia"/>
          <w:b/>
          <w:bCs/>
          <w:sz w:val="20"/>
          <w:szCs w:val="20"/>
          <w:highlight w:val="none"/>
        </w:rPr>
        <w:t>https://mooc2-ans.chaoxing.com/mooc2-ans/mycourse/tch?courseid=228318082&amp;clazzid=62808485&amp;cpi=88669088&amp;enc=cbebfe80acf65e1e07750b3e5b8dbdbe&amp;t=1664240758643</w:t>
      </w:r>
      <w:r>
        <w:rPr>
          <w:rFonts w:hint="eastAsia"/>
          <w:b/>
          <w:bCs/>
          <w:color w:val="000000"/>
          <w:sz w:val="20"/>
          <w:szCs w:val="20"/>
          <w:highlight w:val="none"/>
        </w:rPr>
        <w:fldChar w:fldCharType="end"/>
      </w:r>
    </w:p>
    <w:p>
      <w:pPr>
        <w:adjustRightInd w:val="0"/>
        <w:snapToGrid w:val="0"/>
        <w:spacing w:line="288" w:lineRule="auto"/>
        <w:ind w:firstLine="402" w:firstLineChars="200"/>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教师口语2130006（2）</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儿童剧理论与实务》课程理论与实务兼具。理论部分，综合整理了幼儿游戏与戏剧教育相关的名词、定位、内涵、历史沿革等不同的方面，以建立一套系统性的理论，帮助学生了解戏剧教育的全貌；实务部分，统整现场教学与研究的心得，并呈现幼儿园的教学案例，以帮助学生更好地理解戏剧教育。</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课程旨在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三</w:t>
      </w:r>
      <w:r>
        <w:rPr>
          <w:rFonts w:hint="eastAsia"/>
          <w:color w:val="000000"/>
          <w:sz w:val="20"/>
          <w:szCs w:val="20"/>
        </w:rPr>
        <w:t>年级学生选课，学生应</w:t>
      </w:r>
      <w:r>
        <w:rPr>
          <w:rFonts w:hint="eastAsia"/>
          <w:color w:val="000000"/>
          <w:sz w:val="20"/>
          <w:szCs w:val="20"/>
          <w:lang w:val="en-US" w:eastAsia="zh-CN"/>
        </w:rPr>
        <w:t>对于教育学、心理学基础知识有一定的了解，</w:t>
      </w:r>
      <w:r>
        <w:rPr>
          <w:rFonts w:hint="eastAsia"/>
          <w:color w:val="000000"/>
          <w:sz w:val="20"/>
          <w:szCs w:val="20"/>
        </w:rPr>
        <w:t>具有一定的阅读能力、辩证的思维方法，同时学生应具备一定的自主学习能力。</w:t>
      </w:r>
    </w:p>
    <w:p>
      <w:pPr>
        <w:widowControl/>
        <w:numPr>
          <w:numId w:val="0"/>
        </w:numPr>
        <w:spacing w:beforeLines="50" w:afterLines="50" w:line="288" w:lineRule="auto"/>
        <w:ind w:firstLine="480" w:firstLineChars="200"/>
        <w:jc w:val="left"/>
        <w:rPr>
          <w:rFonts w:ascii="黑体" w:hAnsi="宋体" w:eastAsia="黑体"/>
          <w:sz w:val="24"/>
          <w:highlight w:val="none"/>
        </w:rPr>
      </w:pPr>
      <w:r>
        <w:rPr>
          <w:rFonts w:hint="eastAsia" w:ascii="黑体" w:hAnsi="宋体" w:eastAsia="黑体"/>
          <w:sz w:val="24"/>
          <w:highlight w:val="none"/>
          <w:lang w:val="en-US" w:eastAsia="zh-CN"/>
        </w:rPr>
        <w:t>四、</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both"/>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both"/>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bl>
    <w:p>
      <w:r>
        <w:rPr>
          <w:rFonts w:hint="eastAsia"/>
        </w:rPr>
        <w:t>备注：LO=</w:t>
      </w:r>
      <w:r>
        <w:t>learning outcomes</w:t>
      </w:r>
      <w:r>
        <w:rPr>
          <w:rFonts w:hint="eastAsia"/>
        </w:rPr>
        <w:t>（学习成果</w:t>
      </w:r>
      <w:r>
        <w:rPr>
          <w:rFonts w:hint="eastAsia"/>
          <w:lang w:eastAsia="zh-CN"/>
        </w:rPr>
        <w:t>）</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4"/>
        <w:gridCol w:w="2450"/>
        <w:gridCol w:w="175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04"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5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175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81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04" w:type="dxa"/>
            <w:shd w:val="clear" w:color="auto" w:fill="auto"/>
            <w:vAlign w:val="center"/>
          </w:tcPr>
          <w:p>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L0121</w:t>
            </w:r>
          </w:p>
        </w:tc>
        <w:tc>
          <w:tcPr>
            <w:tcW w:w="2450" w:type="dxa"/>
            <w:shd w:val="clear" w:color="auto" w:fill="auto"/>
          </w:tcPr>
          <w:p>
            <w:pPr>
              <w:widowControl/>
              <w:rPr>
                <w:rFonts w:hint="default"/>
                <w:bCs/>
                <w:color w:val="000000"/>
                <w:sz w:val="20"/>
                <w:szCs w:val="20"/>
                <w:lang w:val="en-US" w:eastAsia="zh-CN"/>
              </w:rPr>
            </w:pPr>
            <w:r>
              <w:rPr>
                <w:rFonts w:hint="eastAsia"/>
                <w:bCs/>
                <w:color w:val="000000"/>
                <w:sz w:val="20"/>
                <w:szCs w:val="20"/>
                <w:lang w:val="en-US" w:eastAsia="zh-CN"/>
              </w:rPr>
              <w:t>通过带领戏剧游戏、组织学前儿童戏剧主题活动、参与儿童剧剧目的创编与排练等项目的实践，体验儿童戏剧教育的魅力，在参与中学习，在体验中成长，在合作中促进自己的全面和谐发展。</w:t>
            </w:r>
          </w:p>
        </w:tc>
        <w:tc>
          <w:tcPr>
            <w:tcW w:w="1750"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课堂讲授；</w:t>
            </w:r>
          </w:p>
          <w:p>
            <w:pPr>
              <w:rPr>
                <w:rFonts w:hint="eastAsia"/>
                <w:color w:val="000000"/>
                <w:sz w:val="20"/>
                <w:szCs w:val="20"/>
                <w:lang w:val="en-US" w:eastAsia="zh-CN"/>
              </w:rPr>
            </w:pPr>
            <w:r>
              <w:rPr>
                <w:rFonts w:hint="eastAsia"/>
                <w:color w:val="000000"/>
                <w:sz w:val="20"/>
                <w:szCs w:val="20"/>
                <w:lang w:val="en-US" w:eastAsia="zh-CN"/>
              </w:rPr>
              <w:t>翻转课堂；</w:t>
            </w:r>
          </w:p>
          <w:p>
            <w:pPr>
              <w:rPr>
                <w:rFonts w:hint="eastAsia"/>
                <w:color w:val="000000"/>
                <w:sz w:val="20"/>
                <w:szCs w:val="20"/>
                <w:lang w:val="en-US" w:eastAsia="zh-CN"/>
              </w:rPr>
            </w:pPr>
            <w:r>
              <w:rPr>
                <w:rFonts w:hint="eastAsia"/>
                <w:color w:val="000000"/>
                <w:sz w:val="20"/>
                <w:szCs w:val="20"/>
                <w:lang w:val="en-US" w:eastAsia="zh-CN"/>
              </w:rPr>
              <w:t>小组讨论；</w:t>
            </w:r>
          </w:p>
          <w:p>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儿童戏剧排演；</w:t>
            </w:r>
          </w:p>
          <w:p>
            <w:pPr>
              <w:rPr>
                <w:rFonts w:hint="eastAsia"/>
                <w:color w:val="000000"/>
                <w:sz w:val="20"/>
                <w:szCs w:val="20"/>
                <w:lang w:val="en-US" w:eastAsia="zh-CN"/>
              </w:rPr>
            </w:pPr>
            <w:r>
              <w:rPr>
                <w:rFonts w:hint="eastAsia"/>
                <w:color w:val="000000"/>
                <w:sz w:val="20"/>
                <w:szCs w:val="20"/>
                <w:lang w:val="en-US" w:eastAsia="zh-CN"/>
              </w:rPr>
              <w:t>课堂表现；</w:t>
            </w:r>
          </w:p>
          <w:p>
            <w:pPr>
              <w:rPr>
                <w:rFonts w:hint="eastAsia"/>
                <w:color w:val="000000"/>
                <w:sz w:val="20"/>
                <w:szCs w:val="20"/>
                <w:lang w:val="en-US" w:eastAsia="zh-CN"/>
              </w:rPr>
            </w:pPr>
            <w:r>
              <w:rPr>
                <w:rFonts w:hint="eastAsia"/>
                <w:color w:val="000000"/>
                <w:sz w:val="20"/>
                <w:szCs w:val="20"/>
                <w:lang w:val="en-US" w:eastAsia="zh-CN"/>
              </w:rPr>
              <w:t>儿童戏剧佳作赏析；</w:t>
            </w:r>
          </w:p>
          <w:p>
            <w:pPr>
              <w:rPr>
                <w:rFonts w:hint="eastAsia"/>
                <w:color w:val="000000"/>
                <w:sz w:val="20"/>
                <w:szCs w:val="20"/>
                <w:lang w:val="en-US" w:eastAsia="zh-CN"/>
              </w:rPr>
            </w:pPr>
            <w:r>
              <w:rPr>
                <w:rFonts w:hint="eastAsia"/>
                <w:color w:val="000000"/>
                <w:sz w:val="20"/>
                <w:szCs w:val="20"/>
                <w:lang w:val="en-US" w:eastAsia="zh-CN"/>
              </w:rPr>
              <w:t>儿童戏剧主题活动案例实践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104" w:type="dxa"/>
            <w:shd w:val="clear" w:color="auto" w:fill="auto"/>
            <w:vAlign w:val="center"/>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LO21</w:t>
            </w:r>
            <w:r>
              <w:rPr>
                <w:rFonts w:hint="eastAsia" w:ascii="宋体" w:hAnsi="宋体" w:cs="宋体"/>
                <w:color w:val="000000"/>
                <w:kern w:val="0"/>
                <w:sz w:val="20"/>
                <w:szCs w:val="20"/>
                <w:lang w:val="en-US" w:eastAsia="zh-CN"/>
              </w:rPr>
              <w:t>1</w:t>
            </w:r>
          </w:p>
        </w:tc>
        <w:tc>
          <w:tcPr>
            <w:tcW w:w="2450" w:type="dxa"/>
            <w:shd w:val="clear" w:color="auto" w:fill="auto"/>
          </w:tcPr>
          <w:p>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了解学前儿童戏剧教育基础理论知识</w:t>
            </w:r>
          </w:p>
          <w:p>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掌握设计与组织学前儿童戏剧活动所需的基本技能</w:t>
            </w:r>
          </w:p>
          <w:p>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在设计与组织学前儿童戏剧活动中提升自我的肢体表现能力和语言表达能力，逐步提升自己的文学素养和艺术素养</w:t>
            </w:r>
          </w:p>
        </w:tc>
        <w:tc>
          <w:tcPr>
            <w:tcW w:w="1750"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课堂讲授；</w:t>
            </w:r>
          </w:p>
          <w:p>
            <w:pPr>
              <w:rPr>
                <w:rFonts w:hint="eastAsia"/>
                <w:color w:val="000000"/>
                <w:sz w:val="20"/>
                <w:szCs w:val="20"/>
                <w:lang w:val="en-US" w:eastAsia="zh-CN"/>
              </w:rPr>
            </w:pPr>
            <w:r>
              <w:rPr>
                <w:rFonts w:hint="eastAsia"/>
                <w:color w:val="000000"/>
                <w:sz w:val="20"/>
                <w:szCs w:val="20"/>
                <w:lang w:val="en-US" w:eastAsia="zh-CN"/>
              </w:rPr>
              <w:t>翻转课堂；</w:t>
            </w:r>
          </w:p>
          <w:p>
            <w:pPr>
              <w:rPr>
                <w:rFonts w:hint="eastAsia"/>
                <w:color w:val="000000"/>
                <w:sz w:val="20"/>
                <w:szCs w:val="20"/>
                <w:lang w:val="en-US" w:eastAsia="zh-CN"/>
              </w:rPr>
            </w:pPr>
            <w:r>
              <w:rPr>
                <w:rFonts w:hint="eastAsia"/>
                <w:color w:val="000000"/>
                <w:sz w:val="20"/>
                <w:szCs w:val="20"/>
                <w:lang w:val="en-US" w:eastAsia="zh-CN"/>
              </w:rPr>
              <w:t>小组讨论；</w:t>
            </w:r>
          </w:p>
          <w:p>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儿童戏剧排演；</w:t>
            </w:r>
          </w:p>
          <w:p>
            <w:pPr>
              <w:rPr>
                <w:rFonts w:hint="eastAsia"/>
                <w:color w:val="000000"/>
                <w:sz w:val="20"/>
                <w:szCs w:val="20"/>
                <w:lang w:val="en-US" w:eastAsia="zh-CN"/>
              </w:rPr>
            </w:pPr>
            <w:r>
              <w:rPr>
                <w:rFonts w:hint="eastAsia"/>
                <w:color w:val="000000"/>
                <w:sz w:val="20"/>
                <w:szCs w:val="20"/>
                <w:lang w:val="en-US" w:eastAsia="zh-CN"/>
              </w:rPr>
              <w:t>课堂表现；</w:t>
            </w:r>
          </w:p>
          <w:p>
            <w:pPr>
              <w:rPr>
                <w:rFonts w:hint="eastAsia"/>
                <w:color w:val="000000"/>
                <w:sz w:val="20"/>
                <w:szCs w:val="20"/>
                <w:lang w:val="en-US" w:eastAsia="zh-CN"/>
              </w:rPr>
            </w:pPr>
            <w:r>
              <w:rPr>
                <w:rFonts w:hint="eastAsia"/>
                <w:color w:val="000000"/>
                <w:sz w:val="20"/>
                <w:szCs w:val="20"/>
                <w:lang w:val="en-US" w:eastAsia="zh-CN"/>
              </w:rPr>
              <w:t>儿童戏剧佳作赏析；</w:t>
            </w:r>
          </w:p>
          <w:p>
            <w:pPr>
              <w:rPr>
                <w:rFonts w:hint="default"/>
                <w:color w:val="000000"/>
                <w:sz w:val="20"/>
                <w:szCs w:val="20"/>
                <w:lang w:val="en-US" w:eastAsia="zh-CN"/>
              </w:rPr>
            </w:pPr>
            <w:r>
              <w:rPr>
                <w:rFonts w:hint="eastAsia"/>
                <w:color w:val="000000"/>
                <w:sz w:val="20"/>
                <w:szCs w:val="20"/>
                <w:lang w:val="en-US" w:eastAsia="zh-CN"/>
              </w:rPr>
              <w:t>儿童戏剧主题活动案例实践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104" w:type="dxa"/>
            <w:shd w:val="clear" w:color="auto" w:fill="auto"/>
          </w:tcPr>
          <w:p>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222</w:t>
            </w:r>
          </w:p>
        </w:tc>
        <w:tc>
          <w:tcPr>
            <w:tcW w:w="2450" w:type="dxa"/>
            <w:shd w:val="clear" w:color="auto" w:fill="auto"/>
          </w:tcPr>
          <w:p>
            <w:pPr>
              <w:widowControl/>
              <w:numPr>
                <w:ilvl w:val="0"/>
                <w:numId w:val="2"/>
              </w:numPr>
              <w:rPr>
                <w:rFonts w:hint="eastAsia"/>
                <w:bCs/>
                <w:color w:val="000000"/>
                <w:sz w:val="20"/>
                <w:szCs w:val="20"/>
                <w:lang w:val="en-US" w:eastAsia="zh-CN"/>
              </w:rPr>
            </w:pPr>
            <w:r>
              <w:rPr>
                <w:rFonts w:hint="eastAsia"/>
                <w:bCs/>
                <w:color w:val="000000"/>
                <w:sz w:val="20"/>
                <w:szCs w:val="20"/>
                <w:lang w:val="en-US" w:eastAsia="zh-CN"/>
              </w:rPr>
              <w:t>学习带领学前儿童戏剧游戏的策略与方法，掌握设计与组织戏剧主题活动的基本环节与策略</w:t>
            </w:r>
          </w:p>
          <w:p>
            <w:pPr>
              <w:widowControl/>
              <w:numPr>
                <w:ilvl w:val="0"/>
                <w:numId w:val="2"/>
              </w:numPr>
              <w:rPr>
                <w:rFonts w:hint="default"/>
                <w:bCs/>
                <w:color w:val="000000"/>
                <w:sz w:val="20"/>
                <w:szCs w:val="20"/>
                <w:lang w:val="en-US" w:eastAsia="zh-CN"/>
              </w:rPr>
            </w:pPr>
            <w:r>
              <w:rPr>
                <w:rFonts w:hint="eastAsia"/>
                <w:bCs/>
                <w:color w:val="000000"/>
                <w:sz w:val="20"/>
                <w:szCs w:val="20"/>
                <w:lang w:val="en-US" w:eastAsia="zh-CN"/>
              </w:rPr>
              <w:t>掌握学前儿童剧场表演活动排演的基本策略与方法，为今后顺利开展学前儿童戏剧教育工作奠定基础</w:t>
            </w:r>
          </w:p>
        </w:tc>
        <w:tc>
          <w:tcPr>
            <w:tcW w:w="1750"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课堂讲授；</w:t>
            </w:r>
          </w:p>
          <w:p>
            <w:pPr>
              <w:rPr>
                <w:rFonts w:hint="eastAsia"/>
                <w:color w:val="000000"/>
                <w:sz w:val="20"/>
                <w:szCs w:val="20"/>
                <w:lang w:val="en-US" w:eastAsia="zh-CN"/>
              </w:rPr>
            </w:pPr>
            <w:r>
              <w:rPr>
                <w:rFonts w:hint="eastAsia"/>
                <w:color w:val="000000"/>
                <w:sz w:val="20"/>
                <w:szCs w:val="20"/>
                <w:lang w:val="en-US" w:eastAsia="zh-CN"/>
              </w:rPr>
              <w:t>翻转课堂；</w:t>
            </w:r>
          </w:p>
          <w:p>
            <w:pPr>
              <w:rPr>
                <w:rFonts w:hint="eastAsia"/>
                <w:color w:val="000000"/>
                <w:sz w:val="20"/>
                <w:szCs w:val="20"/>
                <w:lang w:val="en-US" w:eastAsia="zh-CN"/>
              </w:rPr>
            </w:pPr>
            <w:r>
              <w:rPr>
                <w:rFonts w:hint="eastAsia"/>
                <w:color w:val="000000"/>
                <w:sz w:val="20"/>
                <w:szCs w:val="20"/>
                <w:lang w:val="en-US" w:eastAsia="zh-CN"/>
              </w:rPr>
              <w:t>小组讨论；</w:t>
            </w:r>
          </w:p>
          <w:p>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儿童戏剧排演；</w:t>
            </w:r>
          </w:p>
          <w:p>
            <w:pPr>
              <w:rPr>
                <w:rFonts w:hint="eastAsia"/>
                <w:color w:val="000000"/>
                <w:sz w:val="20"/>
                <w:szCs w:val="20"/>
                <w:lang w:val="en-US" w:eastAsia="zh-CN"/>
              </w:rPr>
            </w:pPr>
            <w:r>
              <w:rPr>
                <w:rFonts w:hint="eastAsia"/>
                <w:color w:val="000000"/>
                <w:sz w:val="20"/>
                <w:szCs w:val="20"/>
                <w:lang w:val="en-US" w:eastAsia="zh-CN"/>
              </w:rPr>
              <w:t>课堂表现；</w:t>
            </w:r>
          </w:p>
          <w:p>
            <w:pPr>
              <w:rPr>
                <w:rFonts w:hint="eastAsia"/>
                <w:color w:val="000000"/>
                <w:sz w:val="20"/>
                <w:szCs w:val="20"/>
                <w:lang w:val="en-US" w:eastAsia="zh-CN"/>
              </w:rPr>
            </w:pPr>
            <w:r>
              <w:rPr>
                <w:rFonts w:hint="eastAsia"/>
                <w:color w:val="000000"/>
                <w:sz w:val="20"/>
                <w:szCs w:val="20"/>
                <w:lang w:val="en-US" w:eastAsia="zh-CN"/>
              </w:rPr>
              <w:t>儿童戏剧佳作赏析；</w:t>
            </w:r>
          </w:p>
          <w:p>
            <w:pPr>
              <w:rPr>
                <w:rFonts w:hint="default"/>
                <w:color w:val="000000"/>
                <w:sz w:val="20"/>
                <w:szCs w:val="20"/>
                <w:lang w:val="en-US" w:eastAsia="zh-CN"/>
              </w:rPr>
            </w:pPr>
            <w:r>
              <w:rPr>
                <w:rFonts w:hint="eastAsia"/>
                <w:color w:val="000000"/>
                <w:sz w:val="20"/>
                <w:szCs w:val="20"/>
                <w:lang w:val="en-US" w:eastAsia="zh-CN"/>
              </w:rPr>
              <w:t>儿童戏剧主题活动案例实践</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330"/>
        <w:gridCol w:w="233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firstLine="402" w:firstLineChars="200"/>
              <w:rPr>
                <w:rFonts w:hint="eastAsia" w:eastAsia="宋体"/>
                <w:sz w:val="20"/>
                <w:szCs w:val="20"/>
                <w:vertAlign w:val="baseline"/>
                <w:lang w:val="en-US" w:eastAsia="zh-CN"/>
              </w:rPr>
            </w:pPr>
            <w:r>
              <w:rPr>
                <w:rFonts w:hint="eastAsia" w:ascii="宋体" w:hAnsi="宋体"/>
                <w:b/>
                <w:bCs/>
                <w:sz w:val="20"/>
                <w:szCs w:val="20"/>
                <w:lang w:val="en-US" w:eastAsia="zh-CN"/>
              </w:rPr>
              <w:t>单元</w:t>
            </w:r>
          </w:p>
        </w:tc>
        <w:tc>
          <w:tcPr>
            <w:tcW w:w="2330" w:type="dxa"/>
            <w:vAlign w:val="top"/>
          </w:tcPr>
          <w:p>
            <w:pPr>
              <w:snapToGrid w:val="0"/>
              <w:spacing w:line="288" w:lineRule="auto"/>
              <w:ind w:firstLine="402" w:firstLineChars="200"/>
              <w:rPr>
                <w:sz w:val="20"/>
                <w:szCs w:val="20"/>
                <w:vertAlign w:val="baseline"/>
              </w:rPr>
            </w:pPr>
            <w:r>
              <w:rPr>
                <w:rFonts w:hint="eastAsia" w:ascii="宋体" w:hAnsi="宋体"/>
                <w:b/>
                <w:bCs/>
                <w:sz w:val="20"/>
                <w:szCs w:val="20"/>
                <w:lang w:val="en-US" w:eastAsia="zh-CN"/>
              </w:rPr>
              <w:t>教学知识点</w:t>
            </w:r>
          </w:p>
        </w:tc>
        <w:tc>
          <w:tcPr>
            <w:tcW w:w="2330" w:type="dxa"/>
            <w:vAlign w:val="top"/>
          </w:tcPr>
          <w:p>
            <w:pPr>
              <w:snapToGrid w:val="0"/>
              <w:spacing w:line="288" w:lineRule="auto"/>
              <w:ind w:firstLine="402" w:firstLineChars="200"/>
              <w:rPr>
                <w:sz w:val="20"/>
                <w:szCs w:val="20"/>
                <w:vertAlign w:val="baseline"/>
              </w:rPr>
            </w:pPr>
            <w:r>
              <w:rPr>
                <w:rFonts w:hint="eastAsia" w:ascii="宋体" w:hAnsi="宋体"/>
                <w:b/>
                <w:bCs/>
                <w:sz w:val="20"/>
                <w:szCs w:val="20"/>
                <w:lang w:val="en-US" w:eastAsia="zh-CN"/>
              </w:rPr>
              <w:t>能力要求</w:t>
            </w:r>
          </w:p>
        </w:tc>
        <w:tc>
          <w:tcPr>
            <w:tcW w:w="2332" w:type="dxa"/>
            <w:vAlign w:val="top"/>
          </w:tcPr>
          <w:p>
            <w:pPr>
              <w:snapToGrid w:val="0"/>
              <w:spacing w:line="288" w:lineRule="auto"/>
              <w:ind w:firstLine="402" w:firstLineChars="200"/>
              <w:rPr>
                <w:sz w:val="20"/>
                <w:szCs w:val="20"/>
                <w:vertAlign w:val="baseline"/>
              </w:rPr>
            </w:pPr>
            <w:r>
              <w:rPr>
                <w:rFonts w:hint="eastAsia" w:ascii="宋体" w:hAnsi="宋体"/>
                <w:b/>
                <w:bCs/>
                <w:sz w:val="20"/>
                <w:szCs w:val="20"/>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第一单元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儿童戏剧教育的基本概念</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理解有关儿童戏剧教育的基本定义</w:t>
            </w:r>
          </w:p>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了解幼儿园教育活动的分类</w:t>
            </w:r>
          </w:p>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理解儿童戏剧教育的定位</w:t>
            </w:r>
          </w:p>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分析儿童戏剧活动的异同</w:t>
            </w:r>
          </w:p>
        </w:tc>
        <w:tc>
          <w:tcPr>
            <w:tcW w:w="2330" w:type="dxa"/>
            <w:vAlign w:val="top"/>
          </w:tcPr>
          <w:p>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能够说明“儿童戏剧教育”的定义和范围</w:t>
            </w:r>
          </w:p>
          <w:p>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能够分析其与“儿童戏剧活动”在概念与定位上的异同</w:t>
            </w:r>
          </w:p>
        </w:tc>
        <w:tc>
          <w:tcPr>
            <w:tcW w:w="2332" w:type="dxa"/>
            <w:vAlign w:val="top"/>
          </w:tcPr>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1.重点理解儿童戏剧教育的定位</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2.能够结合材料，分析儿童戏剧活动的异同</w:t>
            </w:r>
          </w:p>
          <w:p>
            <w:pPr>
              <w:numPr>
                <w:ilvl w:val="0"/>
                <w:numId w:val="0"/>
              </w:numPr>
              <w:snapToGrid w:val="0"/>
              <w:spacing w:line="288" w:lineRule="auto"/>
              <w:ind w:right="26" w:rightChars="0"/>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第二单元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儿童戏剧教育的功能与内涵</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pPr>
              <w:numPr>
                <w:ilvl w:val="0"/>
                <w:numId w:val="5"/>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了解戏剧教育的价值与功能</w:t>
            </w:r>
          </w:p>
          <w:p>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理解儿童戏剧戏剧教育的内涵与元素</w:t>
            </w:r>
          </w:p>
          <w:p>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分析儿童戏剧教育的组织成员</w:t>
            </w:r>
          </w:p>
        </w:tc>
        <w:tc>
          <w:tcPr>
            <w:tcW w:w="2330" w:type="dxa"/>
            <w:vAlign w:val="top"/>
          </w:tcPr>
          <w:p>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能够分析戏剧教育对儿童发展的贡献</w:t>
            </w:r>
          </w:p>
          <w:p>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能够针对戏剧艺术之内涵、戏剧与剧场艺术之基本架构及戏剧教育之参与人员等作一个完整的解读</w:t>
            </w:r>
          </w:p>
        </w:tc>
        <w:tc>
          <w:tcPr>
            <w:tcW w:w="2332" w:type="dxa"/>
            <w:vAlign w:val="top"/>
          </w:tcPr>
          <w:p>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了解学前儿童戏剧教育的基础理论，理解学前儿童戏剧教育的基本内容，</w:t>
            </w:r>
          </w:p>
          <w:p>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掌握设计实施学前儿童戏剧教育的基本策略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第三单元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儿童游戏与戏剧教育</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理解自发性戏剧游戏的定义及本质</w:t>
            </w:r>
          </w:p>
          <w:p>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了解自发性游戏的发展</w:t>
            </w:r>
          </w:p>
          <w:p>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理解儿童戏剧教育和戏剧游戏的比较</w:t>
            </w:r>
          </w:p>
        </w:tc>
        <w:tc>
          <w:tcPr>
            <w:tcW w:w="2330" w:type="dxa"/>
            <w:vAlign w:val="top"/>
          </w:tcPr>
          <w:p>
            <w:pPr>
              <w:numPr>
                <w:ilvl w:val="0"/>
                <w:numId w:val="9"/>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能够简要分析儿童游戏的本质及自发性戏剧游戏的发展</w:t>
            </w:r>
          </w:p>
          <w:p>
            <w:pPr>
              <w:numPr>
                <w:ilvl w:val="0"/>
                <w:numId w:val="9"/>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能够与戏剧教育的本质及内涵进行比较</w:t>
            </w:r>
          </w:p>
          <w:p>
            <w:pPr>
              <w:snapToGrid w:val="0"/>
              <w:spacing w:line="288" w:lineRule="auto"/>
              <w:ind w:right="26"/>
              <w:rPr>
                <w:rFonts w:hint="default"/>
                <w:sz w:val="20"/>
                <w:szCs w:val="20"/>
                <w:vertAlign w:val="baseline"/>
                <w:lang w:val="en-US" w:eastAsia="zh-CN"/>
              </w:rPr>
            </w:pPr>
          </w:p>
        </w:tc>
        <w:tc>
          <w:tcPr>
            <w:tcW w:w="2332" w:type="dxa"/>
            <w:vAlign w:val="top"/>
          </w:tcPr>
          <w:p>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根据材料内容分析儿童戏剧教育和戏剧游戏的异同</w:t>
            </w:r>
          </w:p>
          <w:p>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根据材料内容，尝试设计活动过程，引导幼儿由浅入深，有顺序地习得经验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trPr>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第四单元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戏剧课程的内涵与模式</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了解戏剧课程的统整内涵</w:t>
            </w:r>
          </w:p>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了解美国戏剧教育的发展历程</w:t>
            </w:r>
          </w:p>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了解英国戏剧教育的发展历程</w:t>
            </w:r>
          </w:p>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分析三种戏剧课程模式</w:t>
            </w:r>
          </w:p>
        </w:tc>
        <w:tc>
          <w:tcPr>
            <w:tcW w:w="2330" w:type="dxa"/>
            <w:vAlign w:val="top"/>
          </w:tcPr>
          <w:p>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能够简要阐述戏剧教育与统整课程的关系</w:t>
            </w:r>
          </w:p>
          <w:p>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能够简要阐述美国、英国的戏剧发展</w:t>
            </w:r>
          </w:p>
          <w:p>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能够分析三种代表性戏剧课程模式并比较个别课程的特色</w:t>
            </w:r>
          </w:p>
        </w:tc>
        <w:tc>
          <w:tcPr>
            <w:tcW w:w="2332" w:type="dxa"/>
            <w:vAlign w:val="top"/>
          </w:tcPr>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1.阐述美国、英国的戏剧发展</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2.分析三种代表性戏剧课程模式并比较个别课程的特色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第五单元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幼儿园多元戏剧课程</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了解幼儿园的多元戏剧课程发展</w:t>
            </w:r>
          </w:p>
          <w:p>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了解随机性的幼儿戏剧扮演游戏、主题性的戏剧扮演活动、议题性的教育戏剧D-I-E、线性组织的创造性戏剧</w:t>
            </w:r>
          </w:p>
        </w:tc>
        <w:tc>
          <w:tcPr>
            <w:tcW w:w="2330" w:type="dxa"/>
            <w:vAlign w:val="top"/>
          </w:tcPr>
          <w:p>
            <w:pPr>
              <w:widowControl w:val="0"/>
              <w:numPr>
                <w:ilvl w:val="0"/>
                <w:numId w:val="0"/>
              </w:numPr>
              <w:snapToGrid w:val="0"/>
              <w:spacing w:line="288" w:lineRule="auto"/>
              <w:ind w:right="26" w:rightChars="0"/>
              <w:jc w:val="both"/>
              <w:rPr>
                <w:rFonts w:hint="eastAsia"/>
                <w:sz w:val="20"/>
                <w:szCs w:val="20"/>
                <w:vertAlign w:val="baseline"/>
                <w:lang w:val="en-US" w:eastAsia="zh-CN"/>
              </w:rPr>
            </w:pPr>
            <w:r>
              <w:rPr>
                <w:rFonts w:hint="eastAsia"/>
                <w:sz w:val="20"/>
                <w:szCs w:val="20"/>
                <w:vertAlign w:val="baseline"/>
                <w:lang w:val="en-US" w:eastAsia="zh-CN"/>
              </w:rPr>
              <w:t>能够简要分析随机性的幼儿戏剧扮演游戏、主题性的戏剧扮演活动、议题性的教育戏剧D-I-E、线性组织的创造性戏剧这四种可行的幼儿园戏剧教育形态</w:t>
            </w:r>
          </w:p>
          <w:p>
            <w:pPr>
              <w:widowControl w:val="0"/>
              <w:numPr>
                <w:ilvl w:val="0"/>
                <w:numId w:val="0"/>
              </w:numPr>
              <w:snapToGrid w:val="0"/>
              <w:spacing w:line="288" w:lineRule="auto"/>
              <w:ind w:right="26" w:rightChars="0"/>
              <w:jc w:val="both"/>
              <w:rPr>
                <w:rFonts w:hint="default"/>
                <w:sz w:val="20"/>
                <w:szCs w:val="20"/>
                <w:vertAlign w:val="baseline"/>
                <w:lang w:val="en-US" w:eastAsia="zh-CN"/>
              </w:rPr>
            </w:pPr>
          </w:p>
        </w:tc>
        <w:tc>
          <w:tcPr>
            <w:tcW w:w="2332" w:type="dxa"/>
            <w:vAlign w:val="top"/>
          </w:tcPr>
          <w:p>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能够以实例说明随机性的幼儿戏剧扮演游戏、主题性的戏剧扮演活动、议题性的教育戏剧D-I-E、线性组织的创造性戏剧这四种戏剧教育形态执行的方式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第六单元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儿童戏剧教育的教学</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理解教师与幼儿的关系</w:t>
            </w:r>
          </w:p>
          <w:p>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了解教室中的生活规范</w:t>
            </w:r>
          </w:p>
          <w:p>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了解戏剧带领的变化因素</w:t>
            </w:r>
          </w:p>
        </w:tc>
        <w:tc>
          <w:tcPr>
            <w:tcW w:w="2330" w:type="dxa"/>
            <w:vAlign w:val="top"/>
          </w:tcPr>
          <w:p>
            <w:pPr>
              <w:numPr>
                <w:ilvl w:val="0"/>
                <w:numId w:val="15"/>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能够结合材料内容简要分析教师与幼儿的关系</w:t>
            </w:r>
          </w:p>
          <w:p>
            <w:pPr>
              <w:numPr>
                <w:ilvl w:val="0"/>
                <w:numId w:val="15"/>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c>
          <w:tcPr>
            <w:tcW w:w="2332" w:type="dxa"/>
            <w:vAlign w:val="top"/>
          </w:tcPr>
          <w:p>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第七单元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创造性戏剧入门——肢体与声音的表达与应用</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了解韵律活动的课程设计及研究省思</w:t>
            </w:r>
          </w:p>
          <w:p>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了解模仿活动的课程设计及研究省思</w:t>
            </w:r>
          </w:p>
          <w:p>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了解感官活动、声音与口语的对白活动、口述哑剧的课程设计及研究省思</w:t>
            </w:r>
          </w:p>
          <w:p>
            <w:pPr>
              <w:numPr>
                <w:ilvl w:val="0"/>
                <w:numId w:val="0"/>
              </w:numPr>
              <w:snapToGrid w:val="0"/>
              <w:spacing w:line="288" w:lineRule="auto"/>
              <w:ind w:right="26" w:rightChars="0"/>
              <w:rPr>
                <w:rFonts w:hint="default"/>
                <w:sz w:val="20"/>
                <w:szCs w:val="20"/>
                <w:vertAlign w:val="baseline"/>
                <w:lang w:val="en-US" w:eastAsia="zh-CN"/>
              </w:rPr>
            </w:pPr>
          </w:p>
        </w:tc>
        <w:tc>
          <w:tcPr>
            <w:tcW w:w="2330" w:type="dxa"/>
            <w:vAlign w:val="top"/>
          </w:tcPr>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pPr>
              <w:numPr>
                <w:ilvl w:val="0"/>
                <w:numId w:val="0"/>
              </w:numPr>
              <w:snapToGrid w:val="0"/>
              <w:spacing w:line="288" w:lineRule="auto"/>
              <w:ind w:right="26" w:rightChars="0"/>
              <w:rPr>
                <w:rFonts w:hint="default"/>
                <w:sz w:val="20"/>
                <w:szCs w:val="20"/>
                <w:vertAlign w:val="baseline"/>
                <w:lang w:val="en-US" w:eastAsia="zh-CN"/>
              </w:rPr>
            </w:pPr>
          </w:p>
        </w:tc>
        <w:tc>
          <w:tcPr>
            <w:tcW w:w="2332" w:type="dxa"/>
            <w:vAlign w:val="top"/>
          </w:tcPr>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pPr>
              <w:numPr>
                <w:ilvl w:val="0"/>
                <w:numId w:val="0"/>
              </w:numPr>
              <w:snapToGrid w:val="0"/>
              <w:spacing w:line="288" w:lineRule="auto"/>
              <w:ind w:right="26" w:rightChars="0"/>
              <w:rPr>
                <w:rFonts w:hint="default"/>
                <w:sz w:val="20"/>
                <w:szCs w:val="20"/>
                <w:vertAlign w:val="baseline"/>
                <w:lang w:val="en-US" w:eastAsia="zh-CN"/>
              </w:rPr>
            </w:pPr>
          </w:p>
          <w:p>
            <w:pPr>
              <w:numPr>
                <w:ilvl w:val="0"/>
                <w:numId w:val="0"/>
              </w:numPr>
              <w:snapToGrid w:val="0"/>
              <w:spacing w:line="288" w:lineRule="auto"/>
              <w:ind w:right="26" w:rightChars="0"/>
              <w:rPr>
                <w:rFonts w:hint="default"/>
                <w:sz w:val="20"/>
                <w:szCs w:val="20"/>
                <w:vertAlign w:val="baseline"/>
                <w:lang w:val="en-US" w:eastAsia="zh-CN"/>
              </w:rPr>
            </w:pPr>
          </w:p>
          <w:p>
            <w:pPr>
              <w:numPr>
                <w:ilvl w:val="0"/>
                <w:numId w:val="0"/>
              </w:numPr>
              <w:snapToGrid w:val="0"/>
              <w:spacing w:line="288" w:lineRule="auto"/>
              <w:ind w:right="26" w:rightChars="0"/>
              <w:rPr>
                <w:rFonts w:hint="default"/>
                <w:sz w:val="20"/>
                <w:szCs w:val="20"/>
                <w:vertAlign w:val="baseline"/>
                <w:lang w:val="en-US" w:eastAsia="zh-CN"/>
              </w:rPr>
            </w:pPr>
          </w:p>
          <w:p>
            <w:pPr>
              <w:snapToGrid w:val="0"/>
              <w:spacing w:line="288" w:lineRule="auto"/>
              <w:ind w:right="26"/>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第八单元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创造性戏剧入门——故事戏剧</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了解故事戏剧流程</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理解故事的导入-选择与介绍</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理解故事的发展-讨论与练习</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了解故事的分享-计划与呈现</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了解故事的回顾与再现-反省检讨与二度呈现</w:t>
            </w:r>
          </w:p>
        </w:tc>
        <w:tc>
          <w:tcPr>
            <w:tcW w:w="2330" w:type="dxa"/>
            <w:vAlign w:val="top"/>
          </w:tcPr>
          <w:p>
            <w:pPr>
              <w:numPr>
                <w:ilvl w:val="0"/>
                <w:numId w:val="18"/>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能够简要说明故事流程</w:t>
            </w:r>
          </w:p>
          <w:p>
            <w:pPr>
              <w:numPr>
                <w:ilvl w:val="0"/>
                <w:numId w:val="1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能够分析故事的导入、发展、分享、回顾与再现</w:t>
            </w:r>
          </w:p>
        </w:tc>
        <w:tc>
          <w:tcPr>
            <w:tcW w:w="2332" w:type="dxa"/>
            <w:vAlign w:val="top"/>
          </w:tcPr>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能够结合教学实例分析故事戏剧流程、故事的导入-选择与介绍、故事的发展-讨论与练习、故事的分享-计划与呈现、故事的回顾与再现-反省检讨与二度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第九单元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儿童戏剧教育的行动研究</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理解行动研究的方法</w:t>
            </w:r>
          </w:p>
          <w:p>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了解合作对象</w:t>
            </w:r>
          </w:p>
          <w:p>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理解行动反思</w:t>
            </w:r>
          </w:p>
        </w:tc>
        <w:tc>
          <w:tcPr>
            <w:tcW w:w="2330" w:type="dxa"/>
            <w:vAlign w:val="top"/>
          </w:tcPr>
          <w:p>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能够结合材料内容提出建议与未来研究方向</w:t>
            </w:r>
          </w:p>
          <w:p>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能够简要分析行动研究的方法</w:t>
            </w:r>
          </w:p>
        </w:tc>
        <w:tc>
          <w:tcPr>
            <w:tcW w:w="2332" w:type="dxa"/>
            <w:vAlign w:val="top"/>
          </w:tcPr>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能够结合教学实例尝试开展儿童戏剧教育的行动研究</w:t>
            </w:r>
          </w:p>
        </w:tc>
      </w:tr>
    </w:tbl>
    <w:p>
      <w:pPr>
        <w:snapToGrid w:val="0"/>
        <w:spacing w:line="288" w:lineRule="auto"/>
        <w:ind w:right="26"/>
        <w:rPr>
          <w:rFonts w:hint="eastAsia"/>
          <w:sz w:val="20"/>
          <w:szCs w:val="20"/>
          <w:vertAlign w:val="baseline"/>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儿童戏剧排演</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课堂表现</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儿童戏剧佳作赏析</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儿童戏剧主题活动案例实践</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10%</w:t>
            </w:r>
          </w:p>
        </w:tc>
      </w:tr>
    </w:tbl>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马嘉玉    </w:t>
      </w:r>
      <w:r>
        <w:rPr>
          <w:rFonts w:hint="eastAsia"/>
          <w:sz w:val="28"/>
          <w:szCs w:val="28"/>
        </w:rPr>
        <w:t>系主任审核签名</w:t>
      </w:r>
      <w:r>
        <w:rPr>
          <w:rFonts w:hint="eastAsia"/>
          <w:sz w:val="28"/>
          <w:szCs w:val="28"/>
          <w:lang w:eastAsia="zh-CN"/>
        </w:rPr>
        <w:t>：</w:t>
      </w:r>
      <w:r>
        <w:rPr>
          <w:rFonts w:hint="eastAsia"/>
          <w:sz w:val="28"/>
          <w:szCs w:val="28"/>
          <w:lang w:val="en-US" w:eastAsia="zh-CN"/>
        </w:rPr>
        <w:t xml:space="preserve">杨洁   </w:t>
      </w:r>
      <w:r>
        <w:rPr>
          <w:rFonts w:hint="eastAsia"/>
          <w:sz w:val="28"/>
          <w:szCs w:val="28"/>
        </w:rPr>
        <w:t>审核时间：</w:t>
      </w:r>
      <w:r>
        <w:rPr>
          <w:rFonts w:hint="eastAsia"/>
          <w:sz w:val="28"/>
          <w:szCs w:val="28"/>
          <w:lang w:val="en-US" w:eastAsia="zh-CN"/>
        </w:rPr>
        <w:t xml:space="preserve"> </w:t>
      </w:r>
      <w:bookmarkStart w:id="1" w:name="_GoBack"/>
      <w:r>
        <w:rPr>
          <w:rFonts w:hint="eastAsia"/>
          <w:sz w:val="28"/>
          <w:szCs w:val="28"/>
        </w:rPr>
        <w:t>2</w:t>
      </w:r>
      <w:r>
        <w:rPr>
          <w:sz w:val="28"/>
          <w:szCs w:val="28"/>
        </w:rPr>
        <w:t>023-3-1</w:t>
      </w:r>
      <w:r>
        <w:rPr>
          <w:rFonts w:hint="eastAsia"/>
          <w:sz w:val="28"/>
          <w:szCs w:val="28"/>
          <w:lang w:val="en-US" w:eastAsia="zh-CN"/>
        </w:rPr>
        <w:t xml:space="preserve"> </w:t>
      </w:r>
      <w:bookmarkEnd w:id="1"/>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04D8C"/>
    <w:multiLevelType w:val="singleLevel"/>
    <w:tmpl w:val="86F04D8C"/>
    <w:lvl w:ilvl="0" w:tentative="0">
      <w:start w:val="1"/>
      <w:numFmt w:val="decimal"/>
      <w:lvlText w:val="%1."/>
      <w:lvlJc w:val="left"/>
      <w:pPr>
        <w:tabs>
          <w:tab w:val="left" w:pos="312"/>
        </w:tabs>
      </w:pPr>
    </w:lvl>
  </w:abstractNum>
  <w:abstractNum w:abstractNumId="1">
    <w:nsid w:val="913CB215"/>
    <w:multiLevelType w:val="singleLevel"/>
    <w:tmpl w:val="913CB215"/>
    <w:lvl w:ilvl="0" w:tentative="0">
      <w:start w:val="1"/>
      <w:numFmt w:val="decimal"/>
      <w:lvlText w:val="%1."/>
      <w:lvlJc w:val="left"/>
      <w:pPr>
        <w:tabs>
          <w:tab w:val="left" w:pos="312"/>
        </w:tabs>
      </w:pPr>
    </w:lvl>
  </w:abstractNum>
  <w:abstractNum w:abstractNumId="2">
    <w:nsid w:val="931F07F5"/>
    <w:multiLevelType w:val="singleLevel"/>
    <w:tmpl w:val="931F07F5"/>
    <w:lvl w:ilvl="0" w:tentative="0">
      <w:start w:val="1"/>
      <w:numFmt w:val="decimal"/>
      <w:lvlText w:val="%1."/>
      <w:lvlJc w:val="left"/>
      <w:pPr>
        <w:tabs>
          <w:tab w:val="left" w:pos="312"/>
        </w:tabs>
      </w:pPr>
    </w:lvl>
  </w:abstractNum>
  <w:abstractNum w:abstractNumId="3">
    <w:nsid w:val="935A6758"/>
    <w:multiLevelType w:val="singleLevel"/>
    <w:tmpl w:val="935A6758"/>
    <w:lvl w:ilvl="0" w:tentative="0">
      <w:start w:val="1"/>
      <w:numFmt w:val="decimal"/>
      <w:lvlText w:val="%1."/>
      <w:lvlJc w:val="left"/>
      <w:pPr>
        <w:tabs>
          <w:tab w:val="left" w:pos="312"/>
        </w:tabs>
      </w:pPr>
    </w:lvl>
  </w:abstractNum>
  <w:abstractNum w:abstractNumId="4">
    <w:nsid w:val="A6897D4F"/>
    <w:multiLevelType w:val="singleLevel"/>
    <w:tmpl w:val="A6897D4F"/>
    <w:lvl w:ilvl="0" w:tentative="0">
      <w:start w:val="1"/>
      <w:numFmt w:val="decimal"/>
      <w:lvlText w:val="%1."/>
      <w:lvlJc w:val="left"/>
      <w:pPr>
        <w:tabs>
          <w:tab w:val="left" w:pos="312"/>
        </w:tabs>
      </w:pPr>
    </w:lvl>
  </w:abstractNum>
  <w:abstractNum w:abstractNumId="5">
    <w:nsid w:val="D89E6328"/>
    <w:multiLevelType w:val="singleLevel"/>
    <w:tmpl w:val="D89E6328"/>
    <w:lvl w:ilvl="0" w:tentative="0">
      <w:start w:val="1"/>
      <w:numFmt w:val="decimal"/>
      <w:lvlText w:val="%1."/>
      <w:lvlJc w:val="left"/>
      <w:pPr>
        <w:tabs>
          <w:tab w:val="left" w:pos="312"/>
        </w:tabs>
      </w:pPr>
    </w:lvl>
  </w:abstractNum>
  <w:abstractNum w:abstractNumId="6">
    <w:nsid w:val="E57F195E"/>
    <w:multiLevelType w:val="singleLevel"/>
    <w:tmpl w:val="E57F195E"/>
    <w:lvl w:ilvl="0" w:tentative="0">
      <w:start w:val="1"/>
      <w:numFmt w:val="decimal"/>
      <w:lvlText w:val="%1."/>
      <w:lvlJc w:val="left"/>
      <w:pPr>
        <w:tabs>
          <w:tab w:val="left" w:pos="312"/>
        </w:tabs>
      </w:pPr>
    </w:lvl>
  </w:abstractNum>
  <w:abstractNum w:abstractNumId="7">
    <w:nsid w:val="E964FACB"/>
    <w:multiLevelType w:val="singleLevel"/>
    <w:tmpl w:val="E964FACB"/>
    <w:lvl w:ilvl="0" w:tentative="0">
      <w:start w:val="1"/>
      <w:numFmt w:val="decimal"/>
      <w:lvlText w:val="%1."/>
      <w:lvlJc w:val="left"/>
      <w:pPr>
        <w:tabs>
          <w:tab w:val="left" w:pos="312"/>
        </w:tabs>
      </w:pPr>
    </w:lvl>
  </w:abstractNum>
  <w:abstractNum w:abstractNumId="8">
    <w:nsid w:val="EC150598"/>
    <w:multiLevelType w:val="singleLevel"/>
    <w:tmpl w:val="EC150598"/>
    <w:lvl w:ilvl="0" w:tentative="0">
      <w:start w:val="1"/>
      <w:numFmt w:val="decimal"/>
      <w:lvlText w:val="%1."/>
      <w:lvlJc w:val="left"/>
      <w:pPr>
        <w:tabs>
          <w:tab w:val="left" w:pos="312"/>
        </w:tabs>
      </w:pPr>
    </w:lvl>
  </w:abstractNum>
  <w:abstractNum w:abstractNumId="9">
    <w:nsid w:val="FA083787"/>
    <w:multiLevelType w:val="singleLevel"/>
    <w:tmpl w:val="FA083787"/>
    <w:lvl w:ilvl="0" w:tentative="0">
      <w:start w:val="1"/>
      <w:numFmt w:val="decimal"/>
      <w:lvlText w:val="%1."/>
      <w:lvlJc w:val="left"/>
      <w:pPr>
        <w:tabs>
          <w:tab w:val="left" w:pos="312"/>
        </w:tabs>
      </w:pPr>
    </w:lvl>
  </w:abstractNum>
  <w:abstractNum w:abstractNumId="10">
    <w:nsid w:val="06C4DB17"/>
    <w:multiLevelType w:val="singleLevel"/>
    <w:tmpl w:val="06C4DB17"/>
    <w:lvl w:ilvl="0" w:tentative="0">
      <w:start w:val="1"/>
      <w:numFmt w:val="decimal"/>
      <w:lvlText w:val="%1."/>
      <w:lvlJc w:val="left"/>
      <w:pPr>
        <w:tabs>
          <w:tab w:val="left" w:pos="312"/>
        </w:tabs>
      </w:pPr>
    </w:lvl>
  </w:abstractNum>
  <w:abstractNum w:abstractNumId="11">
    <w:nsid w:val="13E9B588"/>
    <w:multiLevelType w:val="singleLevel"/>
    <w:tmpl w:val="13E9B588"/>
    <w:lvl w:ilvl="0" w:tentative="0">
      <w:start w:val="1"/>
      <w:numFmt w:val="decimal"/>
      <w:lvlText w:val="%1."/>
      <w:lvlJc w:val="left"/>
      <w:pPr>
        <w:tabs>
          <w:tab w:val="left" w:pos="312"/>
        </w:tabs>
      </w:pPr>
    </w:lvl>
  </w:abstractNum>
  <w:abstractNum w:abstractNumId="12">
    <w:nsid w:val="23590EC7"/>
    <w:multiLevelType w:val="singleLevel"/>
    <w:tmpl w:val="23590EC7"/>
    <w:lvl w:ilvl="0" w:tentative="0">
      <w:start w:val="1"/>
      <w:numFmt w:val="decimal"/>
      <w:lvlText w:val="%1."/>
      <w:lvlJc w:val="left"/>
      <w:pPr>
        <w:tabs>
          <w:tab w:val="left" w:pos="312"/>
        </w:tabs>
      </w:pPr>
    </w:lvl>
  </w:abstractNum>
  <w:abstractNum w:abstractNumId="13">
    <w:nsid w:val="2D898479"/>
    <w:multiLevelType w:val="singleLevel"/>
    <w:tmpl w:val="2D898479"/>
    <w:lvl w:ilvl="0" w:tentative="0">
      <w:start w:val="1"/>
      <w:numFmt w:val="decimal"/>
      <w:lvlText w:val="%1."/>
      <w:lvlJc w:val="left"/>
      <w:pPr>
        <w:tabs>
          <w:tab w:val="left" w:pos="312"/>
        </w:tabs>
      </w:pPr>
    </w:lvl>
  </w:abstractNum>
  <w:abstractNum w:abstractNumId="14">
    <w:nsid w:val="35899661"/>
    <w:multiLevelType w:val="singleLevel"/>
    <w:tmpl w:val="35899661"/>
    <w:lvl w:ilvl="0" w:tentative="0">
      <w:start w:val="1"/>
      <w:numFmt w:val="decimal"/>
      <w:lvlText w:val="%1."/>
      <w:lvlJc w:val="left"/>
      <w:pPr>
        <w:tabs>
          <w:tab w:val="left" w:pos="312"/>
        </w:tabs>
      </w:pPr>
    </w:lvl>
  </w:abstractNum>
  <w:abstractNum w:abstractNumId="15">
    <w:nsid w:val="5F45B9D9"/>
    <w:multiLevelType w:val="singleLevel"/>
    <w:tmpl w:val="5F45B9D9"/>
    <w:lvl w:ilvl="0" w:tentative="0">
      <w:start w:val="1"/>
      <w:numFmt w:val="decimal"/>
      <w:lvlText w:val="%1."/>
      <w:lvlJc w:val="left"/>
      <w:pPr>
        <w:tabs>
          <w:tab w:val="left" w:pos="312"/>
        </w:tabs>
      </w:pPr>
    </w:lvl>
  </w:abstractNum>
  <w:abstractNum w:abstractNumId="16">
    <w:nsid w:val="5F6D3E60"/>
    <w:multiLevelType w:val="singleLevel"/>
    <w:tmpl w:val="5F6D3E60"/>
    <w:lvl w:ilvl="0" w:tentative="0">
      <w:start w:val="1"/>
      <w:numFmt w:val="decimal"/>
      <w:lvlText w:val="%1."/>
      <w:lvlJc w:val="left"/>
      <w:pPr>
        <w:tabs>
          <w:tab w:val="left" w:pos="312"/>
        </w:tabs>
      </w:pPr>
    </w:lvl>
  </w:abstractNum>
  <w:abstractNum w:abstractNumId="17">
    <w:nsid w:val="6BF9E8BC"/>
    <w:multiLevelType w:val="singleLevel"/>
    <w:tmpl w:val="6BF9E8BC"/>
    <w:lvl w:ilvl="0" w:tentative="0">
      <w:start w:val="1"/>
      <w:numFmt w:val="decimal"/>
      <w:lvlText w:val="%1."/>
      <w:lvlJc w:val="left"/>
      <w:pPr>
        <w:tabs>
          <w:tab w:val="left" w:pos="312"/>
        </w:tabs>
      </w:pPr>
    </w:lvl>
  </w:abstractNum>
  <w:abstractNum w:abstractNumId="18">
    <w:nsid w:val="70DCD533"/>
    <w:multiLevelType w:val="singleLevel"/>
    <w:tmpl w:val="70DCD533"/>
    <w:lvl w:ilvl="0" w:tentative="0">
      <w:start w:val="1"/>
      <w:numFmt w:val="decimal"/>
      <w:lvlText w:val="%1."/>
      <w:lvlJc w:val="left"/>
      <w:pPr>
        <w:tabs>
          <w:tab w:val="left" w:pos="312"/>
        </w:tabs>
      </w:pPr>
    </w:lvl>
  </w:abstractNum>
  <w:abstractNum w:abstractNumId="19">
    <w:nsid w:val="769A112E"/>
    <w:multiLevelType w:val="singleLevel"/>
    <w:tmpl w:val="769A112E"/>
    <w:lvl w:ilvl="0" w:tentative="0">
      <w:start w:val="1"/>
      <w:numFmt w:val="decimal"/>
      <w:lvlText w:val="%1."/>
      <w:lvlJc w:val="left"/>
      <w:pPr>
        <w:tabs>
          <w:tab w:val="left" w:pos="312"/>
        </w:tabs>
      </w:pPr>
    </w:lvl>
  </w:abstractNum>
  <w:num w:numId="1">
    <w:abstractNumId w:val="12"/>
  </w:num>
  <w:num w:numId="2">
    <w:abstractNumId w:val="7"/>
  </w:num>
  <w:num w:numId="3">
    <w:abstractNumId w:val="18"/>
  </w:num>
  <w:num w:numId="4">
    <w:abstractNumId w:val="15"/>
  </w:num>
  <w:num w:numId="5">
    <w:abstractNumId w:val="5"/>
  </w:num>
  <w:num w:numId="6">
    <w:abstractNumId w:val="0"/>
  </w:num>
  <w:num w:numId="7">
    <w:abstractNumId w:val="6"/>
  </w:num>
  <w:num w:numId="8">
    <w:abstractNumId w:val="4"/>
  </w:num>
  <w:num w:numId="9">
    <w:abstractNumId w:val="8"/>
  </w:num>
  <w:num w:numId="10">
    <w:abstractNumId w:val="14"/>
  </w:num>
  <w:num w:numId="11">
    <w:abstractNumId w:val="9"/>
  </w:num>
  <w:num w:numId="12">
    <w:abstractNumId w:val="2"/>
  </w:num>
  <w:num w:numId="13">
    <w:abstractNumId w:val="11"/>
  </w:num>
  <w:num w:numId="14">
    <w:abstractNumId w:val="10"/>
  </w:num>
  <w:num w:numId="15">
    <w:abstractNumId w:val="19"/>
  </w:num>
  <w:num w:numId="16">
    <w:abstractNumId w:val="16"/>
  </w:num>
  <w:num w:numId="17">
    <w:abstractNumId w:val="3"/>
  </w:num>
  <w:num w:numId="18">
    <w:abstractNumId w:val="1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zOWUzMmNjMDkzOGI4OGZiMGMwYjk2MmE1MzdmNj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016370"/>
    <w:rsid w:val="024B0C39"/>
    <w:rsid w:val="0276434E"/>
    <w:rsid w:val="03967520"/>
    <w:rsid w:val="03A35471"/>
    <w:rsid w:val="03AB3B86"/>
    <w:rsid w:val="09184DF8"/>
    <w:rsid w:val="0A8128A6"/>
    <w:rsid w:val="0A877BF5"/>
    <w:rsid w:val="0A916FE6"/>
    <w:rsid w:val="0AE808B2"/>
    <w:rsid w:val="0BF32A1B"/>
    <w:rsid w:val="0C2A69D5"/>
    <w:rsid w:val="0CFC62D1"/>
    <w:rsid w:val="0DC12AEF"/>
    <w:rsid w:val="0E431144"/>
    <w:rsid w:val="0EF9374C"/>
    <w:rsid w:val="102D6FDF"/>
    <w:rsid w:val="10BD2C22"/>
    <w:rsid w:val="10F54341"/>
    <w:rsid w:val="144339E6"/>
    <w:rsid w:val="15147485"/>
    <w:rsid w:val="153B2B02"/>
    <w:rsid w:val="15E71A50"/>
    <w:rsid w:val="181B168C"/>
    <w:rsid w:val="1A876659"/>
    <w:rsid w:val="1B3900AD"/>
    <w:rsid w:val="1CF05174"/>
    <w:rsid w:val="1E210BA4"/>
    <w:rsid w:val="20015B58"/>
    <w:rsid w:val="202F2FE1"/>
    <w:rsid w:val="20C47D66"/>
    <w:rsid w:val="20D873C6"/>
    <w:rsid w:val="22987C80"/>
    <w:rsid w:val="22A77BDF"/>
    <w:rsid w:val="23A52891"/>
    <w:rsid w:val="24192CCC"/>
    <w:rsid w:val="254431B9"/>
    <w:rsid w:val="256811E0"/>
    <w:rsid w:val="26C34178"/>
    <w:rsid w:val="27992EE1"/>
    <w:rsid w:val="27DA0215"/>
    <w:rsid w:val="28B843B1"/>
    <w:rsid w:val="28C92750"/>
    <w:rsid w:val="29050E77"/>
    <w:rsid w:val="29726092"/>
    <w:rsid w:val="2BAC3A98"/>
    <w:rsid w:val="2D434C01"/>
    <w:rsid w:val="2F680AF6"/>
    <w:rsid w:val="2F8F6153"/>
    <w:rsid w:val="30766875"/>
    <w:rsid w:val="335E6E55"/>
    <w:rsid w:val="33772E7D"/>
    <w:rsid w:val="339D2B20"/>
    <w:rsid w:val="34766F66"/>
    <w:rsid w:val="34E35BEF"/>
    <w:rsid w:val="35252839"/>
    <w:rsid w:val="359353AC"/>
    <w:rsid w:val="36644729"/>
    <w:rsid w:val="368E20B8"/>
    <w:rsid w:val="37192A04"/>
    <w:rsid w:val="37275C02"/>
    <w:rsid w:val="37FF023F"/>
    <w:rsid w:val="38034FBC"/>
    <w:rsid w:val="39A66CD4"/>
    <w:rsid w:val="39A855FE"/>
    <w:rsid w:val="3A516E68"/>
    <w:rsid w:val="3A9B4649"/>
    <w:rsid w:val="3AA92143"/>
    <w:rsid w:val="3CD52CE1"/>
    <w:rsid w:val="3DD30080"/>
    <w:rsid w:val="3E200CF5"/>
    <w:rsid w:val="3F366041"/>
    <w:rsid w:val="3F4C13F3"/>
    <w:rsid w:val="410F2E6A"/>
    <w:rsid w:val="41275712"/>
    <w:rsid w:val="41B929FA"/>
    <w:rsid w:val="425621D0"/>
    <w:rsid w:val="4358675A"/>
    <w:rsid w:val="43F854D2"/>
    <w:rsid w:val="44174840"/>
    <w:rsid w:val="4430136C"/>
    <w:rsid w:val="45304201"/>
    <w:rsid w:val="46083D23"/>
    <w:rsid w:val="466C23E0"/>
    <w:rsid w:val="47D34145"/>
    <w:rsid w:val="47D72CE6"/>
    <w:rsid w:val="497547ED"/>
    <w:rsid w:val="4A7D6690"/>
    <w:rsid w:val="4AB0382B"/>
    <w:rsid w:val="4C5503C5"/>
    <w:rsid w:val="4C5970A4"/>
    <w:rsid w:val="4C9A7D6E"/>
    <w:rsid w:val="4E4C009E"/>
    <w:rsid w:val="4F9367B4"/>
    <w:rsid w:val="4FEC22AF"/>
    <w:rsid w:val="514176AB"/>
    <w:rsid w:val="51A37E37"/>
    <w:rsid w:val="53941692"/>
    <w:rsid w:val="552D6ED1"/>
    <w:rsid w:val="555F1754"/>
    <w:rsid w:val="55BF010B"/>
    <w:rsid w:val="55C62C52"/>
    <w:rsid w:val="56982D68"/>
    <w:rsid w:val="569868B5"/>
    <w:rsid w:val="59100194"/>
    <w:rsid w:val="5972735A"/>
    <w:rsid w:val="5A1B1B96"/>
    <w:rsid w:val="5AA8354D"/>
    <w:rsid w:val="5B6A317B"/>
    <w:rsid w:val="5CDE45B0"/>
    <w:rsid w:val="5CFD6518"/>
    <w:rsid w:val="5D8B0D4A"/>
    <w:rsid w:val="5E450B14"/>
    <w:rsid w:val="5EA06BCE"/>
    <w:rsid w:val="610944F1"/>
    <w:rsid w:val="611F6817"/>
    <w:rsid w:val="62782FDB"/>
    <w:rsid w:val="63911F6D"/>
    <w:rsid w:val="63A4735A"/>
    <w:rsid w:val="64855558"/>
    <w:rsid w:val="64D91904"/>
    <w:rsid w:val="66CA1754"/>
    <w:rsid w:val="6853051F"/>
    <w:rsid w:val="68C54C50"/>
    <w:rsid w:val="68D352C1"/>
    <w:rsid w:val="6997087E"/>
    <w:rsid w:val="6AFE0119"/>
    <w:rsid w:val="6E1F74F6"/>
    <w:rsid w:val="6F135699"/>
    <w:rsid w:val="6F1E65D4"/>
    <w:rsid w:val="6F266C86"/>
    <w:rsid w:val="6F3F79C3"/>
    <w:rsid w:val="6F5042C2"/>
    <w:rsid w:val="6FE94601"/>
    <w:rsid w:val="70F91925"/>
    <w:rsid w:val="72153BAA"/>
    <w:rsid w:val="726A2DA5"/>
    <w:rsid w:val="73DA2496"/>
    <w:rsid w:val="74316312"/>
    <w:rsid w:val="74AE0E82"/>
    <w:rsid w:val="7555115C"/>
    <w:rsid w:val="758D5924"/>
    <w:rsid w:val="779611ED"/>
    <w:rsid w:val="780F13C8"/>
    <w:rsid w:val="78207DC8"/>
    <w:rsid w:val="78AD2A98"/>
    <w:rsid w:val="7B7F3E2B"/>
    <w:rsid w:val="7C385448"/>
    <w:rsid w:val="7CB3663D"/>
    <w:rsid w:val="7D4A6E97"/>
    <w:rsid w:val="7E50291F"/>
    <w:rsid w:val="7F905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styleId="9">
    <w:name w:val="annotation reference"/>
    <w:basedOn w:val="7"/>
    <w:semiHidden/>
    <w:unhideWhenUsed/>
    <w:qFormat/>
    <w:uiPriority w:val="99"/>
    <w:rPr>
      <w:sz w:val="21"/>
      <w:szCs w:val="21"/>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4538</Words>
  <Characters>4856</Characters>
  <Lines>13</Lines>
  <Paragraphs>3</Paragraphs>
  <TotalTime>0</TotalTime>
  <ScaleCrop>false</ScaleCrop>
  <LinksUpToDate>false</LinksUpToDate>
  <CharactersWithSpaces>4911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sco</cp:lastModifiedBy>
  <dcterms:modified xsi:type="dcterms:W3CDTF">2023-09-04T04:46:08Z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22DB56893416494593E9CE07A2946967</vt:lpwstr>
  </property>
</Properties>
</file>